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C654A3" w:rsidTr="00EE0A86">
        <w:tc>
          <w:tcPr>
            <w:tcW w:w="9242" w:type="dxa"/>
            <w:shd w:val="clear" w:color="auto" w:fill="548DD4" w:themeFill="text2" w:themeFillTint="99"/>
          </w:tcPr>
          <w:p w:rsidR="00C654A3" w:rsidRPr="00C654A3" w:rsidRDefault="00C654A3" w:rsidP="004F62B7">
            <w:pPr>
              <w:rPr>
                <w:b/>
              </w:rPr>
            </w:pPr>
            <w:bookmarkStart w:id="0" w:name="_GoBack"/>
            <w:bookmarkEnd w:id="0"/>
            <w:r w:rsidRPr="00C654A3">
              <w:rPr>
                <w:b/>
              </w:rPr>
              <w:t xml:space="preserve">St Ursula’s Catholic School Year 7 Literacy and Numeracy Catch-up Premium Strategy </w:t>
            </w:r>
            <w:r w:rsidRPr="00C654A3">
              <w:rPr>
                <w:b/>
              </w:rPr>
              <w:br/>
              <w:t xml:space="preserve">Date: September </w:t>
            </w:r>
            <w:r w:rsidR="004F62B7">
              <w:rPr>
                <w:b/>
              </w:rPr>
              <w:t>2019</w:t>
            </w:r>
          </w:p>
        </w:tc>
      </w:tr>
      <w:tr w:rsidR="00C654A3" w:rsidTr="00C654A3">
        <w:tc>
          <w:tcPr>
            <w:tcW w:w="9242" w:type="dxa"/>
          </w:tcPr>
          <w:p w:rsidR="00C654A3" w:rsidRPr="00C654A3" w:rsidRDefault="00C654A3" w:rsidP="00C654A3">
            <w:pPr>
              <w:rPr>
                <w:b/>
              </w:rPr>
            </w:pPr>
            <w:r w:rsidRPr="00C654A3">
              <w:rPr>
                <w:b/>
              </w:rPr>
              <w:t xml:space="preserve">Purpose of the premium </w:t>
            </w:r>
          </w:p>
          <w:p w:rsidR="00C654A3" w:rsidRDefault="00C654A3" w:rsidP="00C654A3">
            <w:r>
              <w:t xml:space="preserve">The literacy and numeracy catch-up premium gives schools additional funding to support year 7 pupils who did not achieve the </w:t>
            </w:r>
            <w:hyperlink r:id="rId8" w:history="1">
              <w:r w:rsidRPr="00EE0A86">
                <w:rPr>
                  <w:rStyle w:val="Hyperlink"/>
                </w:rPr>
                <w:t>expected standard</w:t>
              </w:r>
            </w:hyperlink>
            <w:r>
              <w:t xml:space="preserve"> in reading or maths at the end of key stage 2 (KS2). Schools must identify pupils who need extra support from the year 7 catch-up premium, so they can decide the best way to use the funding and only select programmes and approaches that they know to be effective. For example, schools can use the funding to pay for: </w:t>
            </w:r>
          </w:p>
          <w:p w:rsidR="00C654A3" w:rsidRDefault="00C654A3" w:rsidP="00C654A3">
            <w:pPr>
              <w:pStyle w:val="ListParagraph"/>
              <w:numPr>
                <w:ilvl w:val="0"/>
                <w:numId w:val="1"/>
              </w:numPr>
            </w:pPr>
            <w:r>
              <w:t xml:space="preserve">individual tuition </w:t>
            </w:r>
          </w:p>
          <w:p w:rsidR="00C654A3" w:rsidRDefault="00C654A3" w:rsidP="00C654A3">
            <w:pPr>
              <w:pStyle w:val="ListParagraph"/>
              <w:numPr>
                <w:ilvl w:val="0"/>
                <w:numId w:val="1"/>
              </w:numPr>
            </w:pPr>
            <w:r>
              <w:t xml:space="preserve">intensive small-group tuition </w:t>
            </w:r>
          </w:p>
          <w:p w:rsidR="00C654A3" w:rsidRDefault="00C654A3" w:rsidP="00C654A3">
            <w:pPr>
              <w:pStyle w:val="ListParagraph"/>
              <w:numPr>
                <w:ilvl w:val="0"/>
                <w:numId w:val="1"/>
              </w:numPr>
            </w:pPr>
            <w:r>
              <w:t>external services and materials</w:t>
            </w:r>
          </w:p>
          <w:p w:rsidR="00C654A3" w:rsidRPr="00C654A3" w:rsidRDefault="00C654A3" w:rsidP="00C654A3">
            <w:pPr>
              <w:pStyle w:val="ListParagraph"/>
              <w:numPr>
                <w:ilvl w:val="0"/>
                <w:numId w:val="1"/>
              </w:numPr>
            </w:pPr>
            <w:r>
              <w:t>academically focused summer schools that help students catch up over a short period of time through intensive expert tuition</w:t>
            </w:r>
          </w:p>
        </w:tc>
      </w:tr>
    </w:tbl>
    <w:p w:rsidR="00B51AB0" w:rsidRDefault="00B51AB0" w:rsidP="00C654A3"/>
    <w:tbl>
      <w:tblPr>
        <w:tblStyle w:val="TableGrid"/>
        <w:tblW w:w="0" w:type="auto"/>
        <w:tblLook w:val="04A0" w:firstRow="1" w:lastRow="0" w:firstColumn="1" w:lastColumn="0" w:noHBand="0" w:noVBand="1"/>
      </w:tblPr>
      <w:tblGrid>
        <w:gridCol w:w="2264"/>
        <w:gridCol w:w="2417"/>
        <w:gridCol w:w="2050"/>
        <w:gridCol w:w="2285"/>
      </w:tblGrid>
      <w:tr w:rsidR="00EE0A86" w:rsidTr="00EE0A86">
        <w:tc>
          <w:tcPr>
            <w:tcW w:w="9242" w:type="dxa"/>
            <w:gridSpan w:val="4"/>
            <w:shd w:val="clear" w:color="auto" w:fill="548DD4" w:themeFill="text2" w:themeFillTint="99"/>
          </w:tcPr>
          <w:p w:rsidR="00EE0A86" w:rsidRPr="00C654A3" w:rsidRDefault="00EE0A86" w:rsidP="004F62B7">
            <w:pPr>
              <w:rPr>
                <w:b/>
              </w:rPr>
            </w:pPr>
            <w:r w:rsidRPr="00C654A3">
              <w:rPr>
                <w:b/>
              </w:rPr>
              <w:t>St Ursula’s Catholic School Year 7 Catch Up Profile 201</w:t>
            </w:r>
            <w:r w:rsidR="004F62B7">
              <w:rPr>
                <w:b/>
              </w:rPr>
              <w:t>8-19</w:t>
            </w:r>
          </w:p>
        </w:tc>
      </w:tr>
      <w:tr w:rsidR="00EE0A86" w:rsidTr="00EE0A86">
        <w:tc>
          <w:tcPr>
            <w:tcW w:w="2323" w:type="dxa"/>
          </w:tcPr>
          <w:p w:rsidR="00EE0A86" w:rsidRPr="00C654A3" w:rsidRDefault="00EE0A86" w:rsidP="00C654A3">
            <w:pPr>
              <w:rPr>
                <w:b/>
              </w:rPr>
            </w:pPr>
            <w:r w:rsidRPr="00C654A3">
              <w:rPr>
                <w:b/>
              </w:rPr>
              <w:t>Number of students in receipt of</w:t>
            </w:r>
            <w:r>
              <w:rPr>
                <w:b/>
              </w:rPr>
              <w:t xml:space="preserve"> just</w:t>
            </w:r>
            <w:r w:rsidRPr="00C654A3">
              <w:rPr>
                <w:b/>
              </w:rPr>
              <w:t xml:space="preserve"> literacy funding</w:t>
            </w:r>
          </w:p>
        </w:tc>
        <w:tc>
          <w:tcPr>
            <w:tcW w:w="2479" w:type="dxa"/>
          </w:tcPr>
          <w:p w:rsidR="00EE0A86" w:rsidRPr="00C654A3" w:rsidRDefault="00EE0A86" w:rsidP="00C654A3">
            <w:pPr>
              <w:rPr>
                <w:b/>
              </w:rPr>
            </w:pPr>
            <w:r w:rsidRPr="00C654A3">
              <w:rPr>
                <w:b/>
              </w:rPr>
              <w:t xml:space="preserve">Number of students in receipt of </w:t>
            </w:r>
            <w:r>
              <w:rPr>
                <w:b/>
              </w:rPr>
              <w:t xml:space="preserve">just </w:t>
            </w:r>
            <w:r w:rsidRPr="00C654A3">
              <w:rPr>
                <w:b/>
              </w:rPr>
              <w:t>numeracy funding</w:t>
            </w:r>
          </w:p>
        </w:tc>
        <w:tc>
          <w:tcPr>
            <w:tcW w:w="2094" w:type="dxa"/>
          </w:tcPr>
          <w:p w:rsidR="00EE0A86" w:rsidRPr="00C654A3" w:rsidRDefault="00EE0A86" w:rsidP="00C654A3">
            <w:pPr>
              <w:rPr>
                <w:b/>
              </w:rPr>
            </w:pPr>
            <w:r>
              <w:rPr>
                <w:b/>
              </w:rPr>
              <w:t>Number of students in receipt of both numeracy and literacy funding</w:t>
            </w:r>
          </w:p>
        </w:tc>
        <w:tc>
          <w:tcPr>
            <w:tcW w:w="2346" w:type="dxa"/>
          </w:tcPr>
          <w:p w:rsidR="00EE0A86" w:rsidRPr="00C654A3" w:rsidRDefault="00EE0A86" w:rsidP="00C654A3">
            <w:pPr>
              <w:rPr>
                <w:b/>
              </w:rPr>
            </w:pPr>
            <w:r w:rsidRPr="00C654A3">
              <w:rPr>
                <w:b/>
              </w:rPr>
              <w:t>Total number of students in receipt of funding</w:t>
            </w:r>
          </w:p>
        </w:tc>
      </w:tr>
      <w:tr w:rsidR="004F62B7" w:rsidTr="00EE0A86">
        <w:tc>
          <w:tcPr>
            <w:tcW w:w="2323" w:type="dxa"/>
          </w:tcPr>
          <w:p w:rsidR="004F62B7" w:rsidRDefault="004F62B7" w:rsidP="00AE6BB1">
            <w:pPr>
              <w:jc w:val="center"/>
            </w:pPr>
            <w:r>
              <w:t>6</w:t>
            </w:r>
          </w:p>
        </w:tc>
        <w:tc>
          <w:tcPr>
            <w:tcW w:w="2479" w:type="dxa"/>
          </w:tcPr>
          <w:p w:rsidR="004F62B7" w:rsidRDefault="005B57DC" w:rsidP="00AE6BB1">
            <w:pPr>
              <w:jc w:val="center"/>
            </w:pPr>
            <w:r>
              <w:t>5</w:t>
            </w:r>
          </w:p>
        </w:tc>
        <w:tc>
          <w:tcPr>
            <w:tcW w:w="2094" w:type="dxa"/>
          </w:tcPr>
          <w:p w:rsidR="004F62B7" w:rsidRDefault="004F62B7" w:rsidP="00AE6BB1">
            <w:pPr>
              <w:jc w:val="center"/>
            </w:pPr>
            <w:r>
              <w:t>4</w:t>
            </w:r>
          </w:p>
        </w:tc>
        <w:tc>
          <w:tcPr>
            <w:tcW w:w="2346" w:type="dxa"/>
          </w:tcPr>
          <w:p w:rsidR="004F62B7" w:rsidRPr="00A407DD" w:rsidRDefault="005B57DC" w:rsidP="00AE6BB1">
            <w:pPr>
              <w:jc w:val="center"/>
              <w:rPr>
                <w:b/>
              </w:rPr>
            </w:pPr>
            <w:r>
              <w:rPr>
                <w:b/>
              </w:rPr>
              <w:t>15</w:t>
            </w:r>
          </w:p>
        </w:tc>
      </w:tr>
    </w:tbl>
    <w:p w:rsidR="00C654A3" w:rsidRDefault="00C654A3" w:rsidP="00C654A3"/>
    <w:tbl>
      <w:tblPr>
        <w:tblStyle w:val="TableGrid"/>
        <w:tblW w:w="0" w:type="auto"/>
        <w:tblLook w:val="04A0" w:firstRow="1" w:lastRow="0" w:firstColumn="1" w:lastColumn="0" w:noHBand="0" w:noVBand="1"/>
      </w:tblPr>
      <w:tblGrid>
        <w:gridCol w:w="2264"/>
        <w:gridCol w:w="2417"/>
        <w:gridCol w:w="2050"/>
        <w:gridCol w:w="2285"/>
      </w:tblGrid>
      <w:tr w:rsidR="00EE0A86" w:rsidTr="00EE0A86">
        <w:tc>
          <w:tcPr>
            <w:tcW w:w="9242" w:type="dxa"/>
            <w:gridSpan w:val="4"/>
            <w:shd w:val="clear" w:color="auto" w:fill="548DD4" w:themeFill="text2" w:themeFillTint="99"/>
          </w:tcPr>
          <w:p w:rsidR="00EE0A86" w:rsidRPr="00C654A3" w:rsidRDefault="00EE0A86" w:rsidP="004F62B7">
            <w:pPr>
              <w:rPr>
                <w:b/>
              </w:rPr>
            </w:pPr>
            <w:r w:rsidRPr="00C654A3">
              <w:rPr>
                <w:b/>
              </w:rPr>
              <w:t xml:space="preserve">St Ursula’s Catholic School Year 7 Catch Up Profile </w:t>
            </w:r>
            <w:r w:rsidR="004F62B7">
              <w:rPr>
                <w:b/>
              </w:rPr>
              <w:t>2019-20</w:t>
            </w:r>
          </w:p>
        </w:tc>
      </w:tr>
      <w:tr w:rsidR="00EE0A86" w:rsidTr="00EE0A86">
        <w:tc>
          <w:tcPr>
            <w:tcW w:w="2323" w:type="dxa"/>
          </w:tcPr>
          <w:p w:rsidR="00EE0A86" w:rsidRPr="00C654A3" w:rsidRDefault="00EE0A86" w:rsidP="00EE0A86">
            <w:pPr>
              <w:rPr>
                <w:b/>
              </w:rPr>
            </w:pPr>
            <w:r w:rsidRPr="00C654A3">
              <w:rPr>
                <w:b/>
              </w:rPr>
              <w:t>Number of students in receipt of</w:t>
            </w:r>
            <w:r>
              <w:rPr>
                <w:b/>
              </w:rPr>
              <w:t xml:space="preserve"> just</w:t>
            </w:r>
            <w:r w:rsidRPr="00C654A3">
              <w:rPr>
                <w:b/>
              </w:rPr>
              <w:t xml:space="preserve"> literacy funding</w:t>
            </w:r>
          </w:p>
        </w:tc>
        <w:tc>
          <w:tcPr>
            <w:tcW w:w="2479" w:type="dxa"/>
          </w:tcPr>
          <w:p w:rsidR="00EE0A86" w:rsidRPr="00C654A3" w:rsidRDefault="00EE0A86" w:rsidP="00EE0A86">
            <w:pPr>
              <w:rPr>
                <w:b/>
              </w:rPr>
            </w:pPr>
            <w:r w:rsidRPr="00C654A3">
              <w:rPr>
                <w:b/>
              </w:rPr>
              <w:t xml:space="preserve">Number of students in receipt of </w:t>
            </w:r>
            <w:r>
              <w:rPr>
                <w:b/>
              </w:rPr>
              <w:t xml:space="preserve">just </w:t>
            </w:r>
            <w:r w:rsidRPr="00C654A3">
              <w:rPr>
                <w:b/>
              </w:rPr>
              <w:t>numeracy funding</w:t>
            </w:r>
          </w:p>
        </w:tc>
        <w:tc>
          <w:tcPr>
            <w:tcW w:w="2094" w:type="dxa"/>
          </w:tcPr>
          <w:p w:rsidR="00EE0A86" w:rsidRPr="00C654A3" w:rsidRDefault="00EE0A86" w:rsidP="00EE0A86">
            <w:pPr>
              <w:rPr>
                <w:b/>
              </w:rPr>
            </w:pPr>
            <w:r>
              <w:rPr>
                <w:b/>
              </w:rPr>
              <w:t>Number of students in receipt of both numeracy and literacy funding</w:t>
            </w:r>
          </w:p>
        </w:tc>
        <w:tc>
          <w:tcPr>
            <w:tcW w:w="2346" w:type="dxa"/>
          </w:tcPr>
          <w:p w:rsidR="00EE0A86" w:rsidRPr="00C654A3" w:rsidRDefault="00EE0A86" w:rsidP="00EE0A86">
            <w:pPr>
              <w:rPr>
                <w:b/>
              </w:rPr>
            </w:pPr>
            <w:r w:rsidRPr="00C654A3">
              <w:rPr>
                <w:b/>
              </w:rPr>
              <w:t>Total number of students in receipt of funding</w:t>
            </w:r>
          </w:p>
        </w:tc>
      </w:tr>
      <w:tr w:rsidR="00EE0A86" w:rsidTr="00EE0A86">
        <w:tc>
          <w:tcPr>
            <w:tcW w:w="2323" w:type="dxa"/>
          </w:tcPr>
          <w:p w:rsidR="00EE0A86" w:rsidRDefault="005B57DC" w:rsidP="00A407DD">
            <w:pPr>
              <w:jc w:val="center"/>
            </w:pPr>
            <w:r>
              <w:t>7</w:t>
            </w:r>
          </w:p>
        </w:tc>
        <w:tc>
          <w:tcPr>
            <w:tcW w:w="2479" w:type="dxa"/>
          </w:tcPr>
          <w:p w:rsidR="00EE0A86" w:rsidRDefault="005B57DC" w:rsidP="00A407DD">
            <w:pPr>
              <w:jc w:val="center"/>
            </w:pPr>
            <w:r>
              <w:t>8</w:t>
            </w:r>
          </w:p>
        </w:tc>
        <w:tc>
          <w:tcPr>
            <w:tcW w:w="2094" w:type="dxa"/>
          </w:tcPr>
          <w:p w:rsidR="00EE0A86" w:rsidRDefault="005B57DC" w:rsidP="00A407DD">
            <w:pPr>
              <w:jc w:val="center"/>
            </w:pPr>
            <w:r>
              <w:t>4</w:t>
            </w:r>
          </w:p>
        </w:tc>
        <w:tc>
          <w:tcPr>
            <w:tcW w:w="2346" w:type="dxa"/>
          </w:tcPr>
          <w:p w:rsidR="00EE0A86" w:rsidRPr="00A407DD" w:rsidRDefault="005B57DC" w:rsidP="00A407DD">
            <w:pPr>
              <w:jc w:val="center"/>
              <w:rPr>
                <w:b/>
              </w:rPr>
            </w:pPr>
            <w:r>
              <w:rPr>
                <w:b/>
              </w:rPr>
              <w:t>19</w:t>
            </w:r>
          </w:p>
        </w:tc>
      </w:tr>
    </w:tbl>
    <w:p w:rsidR="00C654A3" w:rsidRDefault="00C654A3" w:rsidP="00C654A3"/>
    <w:tbl>
      <w:tblPr>
        <w:tblStyle w:val="TableGrid"/>
        <w:tblW w:w="0" w:type="auto"/>
        <w:tblLook w:val="04A0" w:firstRow="1" w:lastRow="0" w:firstColumn="1" w:lastColumn="0" w:noHBand="0" w:noVBand="1"/>
      </w:tblPr>
      <w:tblGrid>
        <w:gridCol w:w="9016"/>
      </w:tblGrid>
      <w:tr w:rsidR="00C654A3" w:rsidTr="00EE0A86">
        <w:tc>
          <w:tcPr>
            <w:tcW w:w="9242" w:type="dxa"/>
            <w:shd w:val="clear" w:color="auto" w:fill="548DD4" w:themeFill="text2" w:themeFillTint="99"/>
          </w:tcPr>
          <w:p w:rsidR="00C654A3" w:rsidRPr="00C654A3" w:rsidRDefault="00C654A3" w:rsidP="00C654A3">
            <w:pPr>
              <w:rPr>
                <w:b/>
              </w:rPr>
            </w:pPr>
            <w:r w:rsidRPr="00C654A3">
              <w:rPr>
                <w:b/>
              </w:rPr>
              <w:t>Overview of St Ursula’s Catholic School’s strategies for enabling Year 7 pupils to catch-up in literacy / numeracy</w:t>
            </w:r>
          </w:p>
        </w:tc>
      </w:tr>
      <w:tr w:rsidR="00C654A3" w:rsidTr="00C654A3">
        <w:tc>
          <w:tcPr>
            <w:tcW w:w="9242" w:type="dxa"/>
          </w:tcPr>
          <w:p w:rsidR="00C654A3" w:rsidRDefault="00C654A3" w:rsidP="00C654A3">
            <w:r>
              <w:t>We will support year 7 pupils</w:t>
            </w:r>
            <w:r w:rsidR="00A407DD">
              <w:t>,</w:t>
            </w:r>
            <w:r>
              <w:t xml:space="preserve"> who did not achieve the expected standard in reading and/or maths at the end of key stage 2 (KS2)</w:t>
            </w:r>
            <w:r w:rsidR="00A407DD">
              <w:t>,</w:t>
            </w:r>
            <w:r>
              <w:t xml:space="preserve"> in the following ways: </w:t>
            </w:r>
          </w:p>
          <w:p w:rsidR="00C654A3" w:rsidRDefault="00C654A3" w:rsidP="00DF77A2">
            <w:pPr>
              <w:pStyle w:val="ListParagraph"/>
              <w:numPr>
                <w:ilvl w:val="0"/>
                <w:numId w:val="2"/>
              </w:numPr>
            </w:pPr>
            <w:r>
              <w:t xml:space="preserve">Withdrawal from </w:t>
            </w:r>
            <w:r w:rsidR="00DF77A2">
              <w:t>one modern language</w:t>
            </w:r>
            <w:r>
              <w:t xml:space="preserve"> to facilitate literacy interventions with specialist staff during the school day </w:t>
            </w:r>
          </w:p>
          <w:p w:rsidR="00DF77A2" w:rsidRDefault="00A407DD" w:rsidP="00DF77A2">
            <w:pPr>
              <w:pStyle w:val="ListParagraph"/>
              <w:numPr>
                <w:ilvl w:val="0"/>
                <w:numId w:val="2"/>
              </w:numPr>
            </w:pPr>
            <w:r>
              <w:t>Additional literacy support</w:t>
            </w:r>
          </w:p>
          <w:p w:rsidR="00A407DD" w:rsidRDefault="00A407DD" w:rsidP="00DF77A2">
            <w:pPr>
              <w:pStyle w:val="ListParagraph"/>
              <w:numPr>
                <w:ilvl w:val="0"/>
                <w:numId w:val="2"/>
              </w:numPr>
            </w:pPr>
            <w:r>
              <w:t xml:space="preserve">Additional numeracy support </w:t>
            </w:r>
          </w:p>
          <w:p w:rsidR="00DF77A2" w:rsidRDefault="00DF77A2" w:rsidP="00DF77A2">
            <w:pPr>
              <w:pStyle w:val="ListParagraph"/>
              <w:numPr>
                <w:ilvl w:val="0"/>
                <w:numId w:val="2"/>
              </w:numPr>
            </w:pPr>
            <w:r>
              <w:t>Increasing teaching</w:t>
            </w:r>
            <w:r w:rsidR="00A407DD">
              <w:t xml:space="preserve"> assistant</w:t>
            </w:r>
            <w:r>
              <w:t xml:space="preserve"> support in </w:t>
            </w:r>
            <w:r w:rsidR="00A407DD">
              <w:t>English lessons</w:t>
            </w:r>
          </w:p>
          <w:p w:rsidR="00DF77A2" w:rsidRDefault="00DF77A2" w:rsidP="00C654A3">
            <w:pPr>
              <w:pStyle w:val="ListParagraph"/>
              <w:numPr>
                <w:ilvl w:val="0"/>
                <w:numId w:val="2"/>
              </w:numPr>
            </w:pPr>
            <w:r>
              <w:t xml:space="preserve">Online vocabulary intervention </w:t>
            </w:r>
          </w:p>
          <w:p w:rsidR="00DF77A2" w:rsidRDefault="00C654A3" w:rsidP="00C654A3">
            <w:pPr>
              <w:pStyle w:val="ListParagraph"/>
              <w:numPr>
                <w:ilvl w:val="0"/>
                <w:numId w:val="2"/>
              </w:numPr>
            </w:pPr>
            <w:r>
              <w:t xml:space="preserve">Online </w:t>
            </w:r>
            <w:r w:rsidR="00A407DD">
              <w:t>numeracy programmes</w:t>
            </w:r>
            <w:r>
              <w:t xml:space="preserve"> </w:t>
            </w:r>
          </w:p>
          <w:p w:rsidR="00C654A3" w:rsidRDefault="00C654A3" w:rsidP="00C654A3">
            <w:pPr>
              <w:pStyle w:val="ListParagraph"/>
              <w:numPr>
                <w:ilvl w:val="0"/>
                <w:numId w:val="2"/>
              </w:numPr>
            </w:pPr>
            <w:r>
              <w:t>Phonics intervention and small group support through SEN department</w:t>
            </w:r>
          </w:p>
          <w:p w:rsidR="00C654A3" w:rsidRDefault="00C654A3" w:rsidP="00C654A3"/>
          <w:p w:rsidR="00C654A3" w:rsidRDefault="00C654A3" w:rsidP="00C654A3">
            <w:r>
              <w:t>Our rationale for spending the money in this way is:</w:t>
            </w:r>
          </w:p>
          <w:p w:rsidR="00C654A3" w:rsidRDefault="00C654A3" w:rsidP="00C654A3">
            <w:r>
              <w:t xml:space="preserve">We draw heavily on the Education Endowment Foundation’s (EEF) </w:t>
            </w:r>
            <w:hyperlink r:id="rId9" w:history="1">
              <w:r w:rsidRPr="00C654A3">
                <w:rPr>
                  <w:rStyle w:val="Hyperlink"/>
                </w:rPr>
                <w:t>Teacher Toolkit</w:t>
              </w:r>
            </w:hyperlink>
            <w:r>
              <w:t xml:space="preserve">, the </w:t>
            </w:r>
            <w:hyperlink r:id="rId10" w:history="1">
              <w:r w:rsidRPr="00C654A3">
                <w:rPr>
                  <w:rStyle w:val="Hyperlink"/>
                </w:rPr>
                <w:t>DFE’s Numeracy and Literacy Strategies report</w:t>
              </w:r>
            </w:hyperlink>
            <w:r>
              <w:t xml:space="preserve"> along with more specialised research articles and impact reports. These, along with the collective professional experience of our staff, have informed our chosen improvement strategies.</w:t>
            </w:r>
          </w:p>
          <w:p w:rsidR="00C654A3" w:rsidRDefault="00C654A3" w:rsidP="00C654A3"/>
          <w:p w:rsidR="00C654A3" w:rsidRDefault="00C654A3" w:rsidP="00C654A3">
            <w:r>
              <w:lastRenderedPageBreak/>
              <w:t>However, as all strategies work differently in different contexts, we regularly review, analyse, and evaluate our interventions to make the most of our literacy and numeracy catch-up grant (details of which are found below).</w:t>
            </w:r>
          </w:p>
          <w:p w:rsidR="00C654A3" w:rsidRDefault="00C654A3" w:rsidP="00C654A3"/>
          <w:p w:rsidR="00C654A3" w:rsidRDefault="00C654A3" w:rsidP="00C654A3">
            <w:r>
              <w:t>Each of our improvement strategies for the academic year commencing in September 2018 link directly to research. The links for each piece of research are below:</w:t>
            </w:r>
          </w:p>
          <w:p w:rsidR="00C654A3" w:rsidRDefault="00C654A3" w:rsidP="00C654A3">
            <w:r>
              <w:t xml:space="preserve">1. </w:t>
            </w:r>
            <w:hyperlink r:id="rId11" w:history="1">
              <w:r w:rsidRPr="00C654A3">
                <w:rPr>
                  <w:rStyle w:val="Hyperlink"/>
                </w:rPr>
                <w:t>Small group intervention research</w:t>
              </w:r>
            </w:hyperlink>
            <w:r>
              <w:t xml:space="preserve"> which highlights the impact of effective intervention and </w:t>
            </w:r>
            <w:hyperlink r:id="rId12" w:history="1">
              <w:r w:rsidRPr="00C654A3">
                <w:rPr>
                  <w:rStyle w:val="Hyperlink"/>
                </w:rPr>
                <w:t>research into the features needed to make this intervention effective</w:t>
              </w:r>
            </w:hyperlink>
          </w:p>
          <w:p w:rsidR="00AB66F2" w:rsidRDefault="00C654A3" w:rsidP="00C654A3">
            <w:r>
              <w:t xml:space="preserve">2. </w:t>
            </w:r>
            <w:hyperlink r:id="rId13" w:history="1">
              <w:r w:rsidRPr="00C654A3">
                <w:rPr>
                  <w:rStyle w:val="Hyperlink"/>
                </w:rPr>
                <w:t>Bedrock Learning research</w:t>
              </w:r>
            </w:hyperlink>
            <w:r w:rsidR="001269E2">
              <w:t xml:space="preserve"> and</w:t>
            </w:r>
            <w:r>
              <w:t xml:space="preserve"> </w:t>
            </w:r>
            <w:hyperlink r:id="rId14" w:history="1">
              <w:r w:rsidRPr="00C654A3">
                <w:rPr>
                  <w:rStyle w:val="Hyperlink"/>
                </w:rPr>
                <w:t>reading comprehension research</w:t>
              </w:r>
            </w:hyperlink>
            <w:r>
              <w:t xml:space="preserve"> </w:t>
            </w:r>
          </w:p>
          <w:p w:rsidR="00C654A3" w:rsidRDefault="00AB66F2" w:rsidP="00C654A3">
            <w:r>
              <w:t xml:space="preserve">3. </w:t>
            </w:r>
            <w:hyperlink r:id="rId15" w:history="1">
              <w:r w:rsidRPr="00AB66F2">
                <w:rPr>
                  <w:rStyle w:val="Hyperlink"/>
                </w:rPr>
                <w:t>D</w:t>
              </w:r>
              <w:r w:rsidR="00C654A3" w:rsidRPr="00AB66F2">
                <w:rPr>
                  <w:rStyle w:val="Hyperlink"/>
                </w:rPr>
                <w:t>igital technology research</w:t>
              </w:r>
            </w:hyperlink>
            <w:r w:rsidR="00C654A3">
              <w:t xml:space="preserve"> </w:t>
            </w:r>
          </w:p>
          <w:p w:rsidR="00AB66F2" w:rsidRDefault="00AB66F2" w:rsidP="00C654A3">
            <w:r>
              <w:t xml:space="preserve">4. </w:t>
            </w:r>
            <w:hyperlink r:id="rId16" w:history="1">
              <w:r w:rsidRPr="00AB66F2">
                <w:rPr>
                  <w:rStyle w:val="Hyperlink"/>
                </w:rPr>
                <w:t>Peer tutoring research</w:t>
              </w:r>
            </w:hyperlink>
          </w:p>
          <w:p w:rsidR="00C654A3" w:rsidRDefault="00AB66F2" w:rsidP="00C654A3">
            <w:r>
              <w:t>5</w:t>
            </w:r>
            <w:r w:rsidR="00C654A3">
              <w:t xml:space="preserve">. </w:t>
            </w:r>
            <w:hyperlink r:id="rId17" w:history="1">
              <w:r w:rsidR="00C654A3" w:rsidRPr="00AB66F2">
                <w:rPr>
                  <w:rStyle w:val="Hyperlink"/>
                </w:rPr>
                <w:t>Phonics research</w:t>
              </w:r>
            </w:hyperlink>
          </w:p>
        </w:tc>
      </w:tr>
    </w:tbl>
    <w:p w:rsidR="00C654A3" w:rsidRDefault="00C654A3" w:rsidP="00C654A3"/>
    <w:tbl>
      <w:tblPr>
        <w:tblStyle w:val="TableGrid"/>
        <w:tblW w:w="0" w:type="auto"/>
        <w:tblLook w:val="04A0" w:firstRow="1" w:lastRow="0" w:firstColumn="1" w:lastColumn="0" w:noHBand="0" w:noVBand="1"/>
      </w:tblPr>
      <w:tblGrid>
        <w:gridCol w:w="1227"/>
        <w:gridCol w:w="7789"/>
      </w:tblGrid>
      <w:tr w:rsidR="00AB66F2" w:rsidTr="00EE0A86">
        <w:tc>
          <w:tcPr>
            <w:tcW w:w="9242" w:type="dxa"/>
            <w:gridSpan w:val="2"/>
            <w:shd w:val="clear" w:color="auto" w:fill="548DD4" w:themeFill="text2" w:themeFillTint="99"/>
          </w:tcPr>
          <w:p w:rsidR="00AB66F2" w:rsidRPr="00AB66F2" w:rsidRDefault="00AB66F2" w:rsidP="00AB66F2">
            <w:pPr>
              <w:rPr>
                <w:b/>
              </w:rPr>
            </w:pPr>
            <w:r w:rsidRPr="00AB66F2">
              <w:rPr>
                <w:b/>
              </w:rPr>
              <w:t>Year 7 Catch-up Funding – the total funding received by St Ursula’s Catholic School</w:t>
            </w:r>
          </w:p>
        </w:tc>
      </w:tr>
      <w:tr w:rsidR="00AB66F2" w:rsidTr="006F3217">
        <w:tc>
          <w:tcPr>
            <w:tcW w:w="1242" w:type="dxa"/>
          </w:tcPr>
          <w:p w:rsidR="00AB66F2" w:rsidRDefault="00AB66F2" w:rsidP="00C654A3">
            <w:r>
              <w:t>2018-19</w:t>
            </w:r>
          </w:p>
        </w:tc>
        <w:tc>
          <w:tcPr>
            <w:tcW w:w="8000" w:type="dxa"/>
            <w:shd w:val="clear" w:color="auto" w:fill="auto"/>
          </w:tcPr>
          <w:p w:rsidR="00AB66F2" w:rsidRDefault="00AE6BB1" w:rsidP="00C654A3">
            <w:r>
              <w:t>£4638</w:t>
            </w:r>
          </w:p>
        </w:tc>
      </w:tr>
      <w:tr w:rsidR="004F62B7" w:rsidTr="006F3217">
        <w:tc>
          <w:tcPr>
            <w:tcW w:w="1242" w:type="dxa"/>
          </w:tcPr>
          <w:p w:rsidR="004F62B7" w:rsidRDefault="004F62B7" w:rsidP="00C654A3">
            <w:r>
              <w:t>2019-20</w:t>
            </w:r>
          </w:p>
        </w:tc>
        <w:tc>
          <w:tcPr>
            <w:tcW w:w="8000" w:type="dxa"/>
            <w:shd w:val="clear" w:color="auto" w:fill="auto"/>
          </w:tcPr>
          <w:p w:rsidR="004F62B7" w:rsidRDefault="00AE6BB1" w:rsidP="00C654A3">
            <w:r>
              <w:t>£4569</w:t>
            </w:r>
          </w:p>
        </w:tc>
      </w:tr>
    </w:tbl>
    <w:p w:rsidR="00AB66F2" w:rsidRDefault="00AB66F2" w:rsidP="00C654A3"/>
    <w:tbl>
      <w:tblPr>
        <w:tblStyle w:val="TableGrid"/>
        <w:tblW w:w="9067" w:type="dxa"/>
        <w:tblLook w:val="04A0" w:firstRow="1" w:lastRow="0" w:firstColumn="1" w:lastColumn="0" w:noHBand="0" w:noVBand="1"/>
      </w:tblPr>
      <w:tblGrid>
        <w:gridCol w:w="2247"/>
        <w:gridCol w:w="2230"/>
        <w:gridCol w:w="4590"/>
      </w:tblGrid>
      <w:tr w:rsidR="00BE3BA9" w:rsidTr="00BE3BA9">
        <w:tc>
          <w:tcPr>
            <w:tcW w:w="9067" w:type="dxa"/>
            <w:gridSpan w:val="3"/>
            <w:shd w:val="clear" w:color="auto" w:fill="548DD4" w:themeFill="text2" w:themeFillTint="99"/>
          </w:tcPr>
          <w:p w:rsidR="00BE3BA9" w:rsidRPr="00EE0A86" w:rsidRDefault="00BE3BA9" w:rsidP="00EE0A86">
            <w:pPr>
              <w:rPr>
                <w:b/>
              </w:rPr>
            </w:pPr>
            <w:r>
              <w:rPr>
                <w:b/>
              </w:rPr>
              <w:t>Impact of the 2018/19 spend</w:t>
            </w:r>
          </w:p>
          <w:p w:rsidR="00BE3BA9" w:rsidRPr="00EE0A86" w:rsidRDefault="00BE3BA9" w:rsidP="00EE0A86">
            <w:r w:rsidRPr="00EE0A86">
              <w:t>At St Ursula’s Catholic School, the year 7 catch-up funding is spent in a variety of ways with the direct and explicit aim of improving the literacy and numeracy outcomes of those pupils who did not attain the expected standard in reading and / or maths at the end of KS2.</w:t>
            </w:r>
          </w:p>
        </w:tc>
      </w:tr>
      <w:tr w:rsidR="00BE3BA9" w:rsidTr="00BE3BA9">
        <w:tc>
          <w:tcPr>
            <w:tcW w:w="2247" w:type="dxa"/>
          </w:tcPr>
          <w:p w:rsidR="00BE3BA9" w:rsidRPr="00EE0A86" w:rsidRDefault="00BE3BA9" w:rsidP="00C654A3">
            <w:pPr>
              <w:rPr>
                <w:b/>
              </w:rPr>
            </w:pPr>
            <w:r>
              <w:rPr>
                <w:b/>
              </w:rPr>
              <w:t>Catch-up strategy 2018/19</w:t>
            </w:r>
          </w:p>
        </w:tc>
        <w:tc>
          <w:tcPr>
            <w:tcW w:w="2230" w:type="dxa"/>
          </w:tcPr>
          <w:p w:rsidR="00BE3BA9" w:rsidRPr="00EE0A86" w:rsidRDefault="00BE3BA9" w:rsidP="00C654A3">
            <w:pPr>
              <w:rPr>
                <w:b/>
              </w:rPr>
            </w:pPr>
            <w:r w:rsidRPr="00EE0A86">
              <w:rPr>
                <w:b/>
              </w:rPr>
              <w:t>Amount</w:t>
            </w:r>
          </w:p>
        </w:tc>
        <w:tc>
          <w:tcPr>
            <w:tcW w:w="4590" w:type="dxa"/>
          </w:tcPr>
          <w:p w:rsidR="00BE3BA9" w:rsidRPr="00EE0A86" w:rsidRDefault="00BE3BA9" w:rsidP="00C654A3">
            <w:pPr>
              <w:rPr>
                <w:b/>
              </w:rPr>
            </w:pPr>
            <w:r w:rsidRPr="00EE0A86">
              <w:rPr>
                <w:b/>
              </w:rPr>
              <w:t>Description</w:t>
            </w:r>
          </w:p>
        </w:tc>
      </w:tr>
      <w:tr w:rsidR="00BE3BA9" w:rsidTr="00BE3BA9">
        <w:tc>
          <w:tcPr>
            <w:tcW w:w="2247" w:type="dxa"/>
            <w:shd w:val="clear" w:color="auto" w:fill="auto"/>
          </w:tcPr>
          <w:p w:rsidR="00BE3BA9" w:rsidRPr="00DF77A2" w:rsidRDefault="00BE3BA9" w:rsidP="00AE6BB1">
            <w:pPr>
              <w:pStyle w:val="Default"/>
              <w:rPr>
                <w:rFonts w:asciiTheme="minorHAnsi" w:hAnsiTheme="minorHAnsi"/>
                <w:sz w:val="22"/>
                <w:szCs w:val="22"/>
              </w:rPr>
            </w:pPr>
            <w:r>
              <w:rPr>
                <w:rFonts w:asciiTheme="minorHAnsi" w:hAnsiTheme="minorHAnsi"/>
                <w:sz w:val="22"/>
                <w:szCs w:val="22"/>
              </w:rPr>
              <w:t>Visits to primary school for maths, English specialist and SENCO.</w:t>
            </w:r>
          </w:p>
        </w:tc>
        <w:tc>
          <w:tcPr>
            <w:tcW w:w="2230" w:type="dxa"/>
            <w:shd w:val="clear" w:color="auto" w:fill="auto"/>
          </w:tcPr>
          <w:p w:rsidR="00BE3BA9" w:rsidRDefault="00BE3BA9" w:rsidP="00AE6BB1">
            <w:r>
              <w:t xml:space="preserve">£100 </w:t>
            </w:r>
          </w:p>
        </w:tc>
        <w:tc>
          <w:tcPr>
            <w:tcW w:w="4590" w:type="dxa"/>
            <w:shd w:val="clear" w:color="auto" w:fill="auto"/>
          </w:tcPr>
          <w:p w:rsidR="00BE3BA9" w:rsidRPr="00DF77A2" w:rsidRDefault="00BE3BA9" w:rsidP="00AE6BB1">
            <w:pPr>
              <w:pStyle w:val="ListParagraph"/>
              <w:numPr>
                <w:ilvl w:val="0"/>
                <w:numId w:val="3"/>
              </w:numPr>
            </w:pPr>
            <w:r>
              <w:t xml:space="preserve">Cover costs for literacy and numeracy leads to visit a primary school to improve understanding of KS2 tests. </w:t>
            </w:r>
          </w:p>
        </w:tc>
      </w:tr>
      <w:tr w:rsidR="00BE3BA9" w:rsidTr="00BE3BA9">
        <w:tc>
          <w:tcPr>
            <w:tcW w:w="2247" w:type="dxa"/>
            <w:shd w:val="clear" w:color="auto" w:fill="auto"/>
          </w:tcPr>
          <w:p w:rsidR="00BE3BA9" w:rsidRPr="00DF77A2" w:rsidRDefault="00BE3BA9" w:rsidP="00AE6BB1">
            <w:pPr>
              <w:pStyle w:val="Default"/>
              <w:rPr>
                <w:rFonts w:asciiTheme="minorHAnsi" w:hAnsiTheme="minorHAnsi"/>
              </w:rPr>
            </w:pPr>
            <w:r w:rsidRPr="00DF77A2">
              <w:rPr>
                <w:rFonts w:asciiTheme="minorHAnsi" w:hAnsiTheme="minorHAnsi"/>
                <w:sz w:val="22"/>
                <w:szCs w:val="22"/>
              </w:rPr>
              <w:t xml:space="preserve">Gap analysis for literacy and numeracy to allow for targeted and bespoke intervention. </w:t>
            </w:r>
          </w:p>
        </w:tc>
        <w:tc>
          <w:tcPr>
            <w:tcW w:w="2230" w:type="dxa"/>
            <w:shd w:val="clear" w:color="auto" w:fill="auto"/>
          </w:tcPr>
          <w:p w:rsidR="00BE3BA9" w:rsidRDefault="00BE3BA9" w:rsidP="00AE6BB1">
            <w:r>
              <w:t>£360</w:t>
            </w:r>
          </w:p>
        </w:tc>
        <w:tc>
          <w:tcPr>
            <w:tcW w:w="4590" w:type="dxa"/>
            <w:shd w:val="clear" w:color="auto" w:fill="auto"/>
          </w:tcPr>
          <w:p w:rsidR="00BE3BA9" w:rsidRDefault="00BE3BA9" w:rsidP="00AE6BB1">
            <w:pPr>
              <w:pStyle w:val="ListParagraph"/>
              <w:numPr>
                <w:ilvl w:val="0"/>
                <w:numId w:val="3"/>
              </w:numPr>
            </w:pPr>
            <w:r>
              <w:t>Gap analysis completed of KS2 knowledge/skills.</w:t>
            </w:r>
          </w:p>
          <w:p w:rsidR="00BE3BA9" w:rsidRDefault="00BE3BA9" w:rsidP="00AE6BB1">
            <w:pPr>
              <w:pStyle w:val="ListParagraph"/>
              <w:numPr>
                <w:ilvl w:val="0"/>
                <w:numId w:val="3"/>
              </w:numPr>
            </w:pPr>
            <w:r>
              <w:t>Personalised learning checklist (PLC) produced for each catch up student</w:t>
            </w:r>
          </w:p>
        </w:tc>
      </w:tr>
      <w:tr w:rsidR="00BE3BA9" w:rsidTr="00BE3BA9">
        <w:tc>
          <w:tcPr>
            <w:tcW w:w="2247" w:type="dxa"/>
            <w:shd w:val="clear" w:color="auto" w:fill="auto"/>
          </w:tcPr>
          <w:p w:rsidR="00BE3BA9" w:rsidRPr="002D3E3A" w:rsidRDefault="00BE3BA9" w:rsidP="00AE6BB1">
            <w:r w:rsidRPr="002D3E3A">
              <w:t>Year 7 literacy lessons taught by English specialist and SENCO. Extra TA support in 3/10 lessons.</w:t>
            </w:r>
          </w:p>
        </w:tc>
        <w:tc>
          <w:tcPr>
            <w:tcW w:w="2230" w:type="dxa"/>
            <w:shd w:val="clear" w:color="auto" w:fill="auto"/>
          </w:tcPr>
          <w:p w:rsidR="00BE3BA9" w:rsidRPr="002D3E3A" w:rsidRDefault="00BE3BA9" w:rsidP="00AE6BB1">
            <w:r>
              <w:t>£6686</w:t>
            </w:r>
            <w:r w:rsidRPr="002D3E3A">
              <w:t xml:space="preserve"> – Lead teacher</w:t>
            </w:r>
          </w:p>
          <w:p w:rsidR="00BE3BA9" w:rsidRPr="002D3E3A" w:rsidRDefault="00BE3BA9" w:rsidP="00AE6BB1">
            <w:r w:rsidRPr="002D3E3A">
              <w:t>£1595 – Additional TA support</w:t>
            </w:r>
          </w:p>
          <w:p w:rsidR="00BE3BA9" w:rsidRPr="002D3E3A" w:rsidRDefault="00BE3BA9" w:rsidP="00AE6BB1"/>
        </w:tc>
        <w:tc>
          <w:tcPr>
            <w:tcW w:w="4590" w:type="dxa"/>
            <w:shd w:val="clear" w:color="auto" w:fill="auto"/>
          </w:tcPr>
          <w:p w:rsidR="00BE3BA9" w:rsidRDefault="00BE3BA9" w:rsidP="00AE6BB1">
            <w:pPr>
              <w:pStyle w:val="ListParagraph"/>
              <w:numPr>
                <w:ilvl w:val="0"/>
                <w:numId w:val="4"/>
              </w:numPr>
            </w:pPr>
            <w:r>
              <w:t>Studying one language allows for three extra literacy lessons in Year 7</w:t>
            </w:r>
          </w:p>
          <w:p w:rsidR="00BE3BA9" w:rsidRDefault="00BE3BA9" w:rsidP="00AE6BB1">
            <w:pPr>
              <w:pStyle w:val="ListParagraph"/>
              <w:numPr>
                <w:ilvl w:val="0"/>
                <w:numId w:val="4"/>
              </w:numPr>
            </w:pPr>
            <w:r>
              <w:t xml:space="preserve">Small group and extra TA support to allow for more bespoke support </w:t>
            </w:r>
          </w:p>
        </w:tc>
      </w:tr>
      <w:tr w:rsidR="00BE3BA9" w:rsidTr="00BE3BA9">
        <w:tc>
          <w:tcPr>
            <w:tcW w:w="2247" w:type="dxa"/>
            <w:shd w:val="clear" w:color="auto" w:fill="auto"/>
          </w:tcPr>
          <w:p w:rsidR="00BE3BA9" w:rsidRDefault="00BE3BA9" w:rsidP="00AE6BB1">
            <w:r>
              <w:t>Small group vocabulary intervention delivered by SENCO.</w:t>
            </w:r>
          </w:p>
        </w:tc>
        <w:tc>
          <w:tcPr>
            <w:tcW w:w="2230" w:type="dxa"/>
            <w:shd w:val="clear" w:color="auto" w:fill="auto"/>
          </w:tcPr>
          <w:p w:rsidR="00BE3BA9" w:rsidRDefault="00BE3BA9" w:rsidP="00AE6BB1">
            <w:r>
              <w:t>£1146</w:t>
            </w:r>
          </w:p>
        </w:tc>
        <w:tc>
          <w:tcPr>
            <w:tcW w:w="4590" w:type="dxa"/>
            <w:shd w:val="clear" w:color="auto" w:fill="auto"/>
          </w:tcPr>
          <w:p w:rsidR="00BE3BA9" w:rsidRDefault="00FF7C22" w:rsidP="00AE6BB1">
            <w:pPr>
              <w:pStyle w:val="ListParagraph"/>
              <w:numPr>
                <w:ilvl w:val="0"/>
                <w:numId w:val="5"/>
              </w:numPr>
            </w:pPr>
            <w:hyperlink r:id="rId18" w:history="1">
              <w:r w:rsidR="00BE3BA9" w:rsidRPr="00FB26D6">
                <w:rPr>
                  <w:rStyle w:val="Hyperlink"/>
                </w:rPr>
                <w:t>Bedrock Learning</w:t>
              </w:r>
            </w:hyperlink>
          </w:p>
        </w:tc>
      </w:tr>
      <w:tr w:rsidR="00BE3BA9" w:rsidTr="00BE3BA9">
        <w:tc>
          <w:tcPr>
            <w:tcW w:w="2247" w:type="dxa"/>
            <w:shd w:val="clear" w:color="auto" w:fill="auto"/>
          </w:tcPr>
          <w:p w:rsidR="00BE3BA9" w:rsidRDefault="00BE3BA9" w:rsidP="00AE6BB1">
            <w:r>
              <w:t>Small group maths intervention delivered by SENCO supported by Year 9 students.</w:t>
            </w:r>
          </w:p>
        </w:tc>
        <w:tc>
          <w:tcPr>
            <w:tcW w:w="2230" w:type="dxa"/>
            <w:shd w:val="clear" w:color="auto" w:fill="auto"/>
          </w:tcPr>
          <w:p w:rsidR="00BE3BA9" w:rsidRDefault="00BE3BA9" w:rsidP="00AE6BB1">
            <w:r>
              <w:t>£1146</w:t>
            </w:r>
          </w:p>
        </w:tc>
        <w:tc>
          <w:tcPr>
            <w:tcW w:w="4590" w:type="dxa"/>
            <w:shd w:val="clear" w:color="auto" w:fill="auto"/>
          </w:tcPr>
          <w:p w:rsidR="00BE3BA9" w:rsidRDefault="00FF7C22" w:rsidP="00AE6BB1">
            <w:pPr>
              <w:pStyle w:val="ListParagraph"/>
              <w:numPr>
                <w:ilvl w:val="0"/>
                <w:numId w:val="5"/>
              </w:numPr>
            </w:pPr>
            <w:hyperlink r:id="rId19" w:history="1">
              <w:r w:rsidR="00BE3BA9" w:rsidRPr="001269E2">
                <w:rPr>
                  <w:rStyle w:val="Hyperlink"/>
                </w:rPr>
                <w:t>Mathswatch</w:t>
              </w:r>
            </w:hyperlink>
          </w:p>
        </w:tc>
      </w:tr>
      <w:tr w:rsidR="00BE3BA9" w:rsidTr="00BE3BA9">
        <w:tc>
          <w:tcPr>
            <w:tcW w:w="2247" w:type="dxa"/>
            <w:shd w:val="clear" w:color="auto" w:fill="auto"/>
          </w:tcPr>
          <w:p w:rsidR="00BE3BA9" w:rsidRDefault="00BE3BA9" w:rsidP="00AE6BB1">
            <w:r>
              <w:t xml:space="preserve">Celebration for attendance intervention sessions and for students who </w:t>
            </w:r>
            <w:r>
              <w:lastRenderedPageBreak/>
              <w:t xml:space="preserve">supported the intervention. </w:t>
            </w:r>
          </w:p>
        </w:tc>
        <w:tc>
          <w:tcPr>
            <w:tcW w:w="2230" w:type="dxa"/>
            <w:shd w:val="clear" w:color="auto" w:fill="auto"/>
          </w:tcPr>
          <w:p w:rsidR="00BE3BA9" w:rsidRDefault="00BE3BA9" w:rsidP="00AE6BB1">
            <w:r>
              <w:lastRenderedPageBreak/>
              <w:t>£100</w:t>
            </w:r>
          </w:p>
        </w:tc>
        <w:tc>
          <w:tcPr>
            <w:tcW w:w="4590" w:type="dxa"/>
            <w:shd w:val="clear" w:color="auto" w:fill="auto"/>
          </w:tcPr>
          <w:p w:rsidR="00BE3BA9" w:rsidRDefault="00BE3BA9" w:rsidP="00AE6BB1">
            <w:pPr>
              <w:pStyle w:val="ListParagraph"/>
              <w:numPr>
                <w:ilvl w:val="0"/>
                <w:numId w:val="5"/>
              </w:numPr>
            </w:pPr>
            <w:r>
              <w:t>TBC – Students to vote on celebration.</w:t>
            </w:r>
          </w:p>
        </w:tc>
      </w:tr>
      <w:tr w:rsidR="00BE3BA9" w:rsidTr="00BE3BA9">
        <w:tc>
          <w:tcPr>
            <w:tcW w:w="2247" w:type="dxa"/>
            <w:shd w:val="clear" w:color="auto" w:fill="auto"/>
          </w:tcPr>
          <w:p w:rsidR="00BE3BA9" w:rsidRPr="00697A65" w:rsidRDefault="00BE3BA9" w:rsidP="00C654A3">
            <w:pPr>
              <w:rPr>
                <w:b/>
              </w:rPr>
            </w:pPr>
            <w:r>
              <w:rPr>
                <w:b/>
              </w:rPr>
              <w:lastRenderedPageBreak/>
              <w:t>TOTAL SPEND</w:t>
            </w:r>
          </w:p>
        </w:tc>
        <w:tc>
          <w:tcPr>
            <w:tcW w:w="6820" w:type="dxa"/>
            <w:gridSpan w:val="2"/>
            <w:shd w:val="clear" w:color="auto" w:fill="auto"/>
          </w:tcPr>
          <w:p w:rsidR="00BE3BA9" w:rsidRPr="00697A65" w:rsidRDefault="00BE3BA9" w:rsidP="00AE6BB1">
            <w:pPr>
              <w:rPr>
                <w:b/>
              </w:rPr>
            </w:pPr>
            <w:r w:rsidRPr="002D3E3A">
              <w:rPr>
                <w:b/>
              </w:rPr>
              <w:t>£11</w:t>
            </w:r>
            <w:r>
              <w:rPr>
                <w:b/>
              </w:rPr>
              <w:t>,133</w:t>
            </w:r>
          </w:p>
        </w:tc>
      </w:tr>
    </w:tbl>
    <w:p w:rsidR="00AB66F2" w:rsidRDefault="00AB66F2" w:rsidP="00C654A3"/>
    <w:p w:rsidR="0086421C" w:rsidRDefault="0086421C" w:rsidP="00C654A3">
      <w:pPr>
        <w:rPr>
          <w:b/>
          <w:i/>
        </w:rPr>
      </w:pPr>
      <w:r w:rsidRPr="0086421C">
        <w:rPr>
          <w:b/>
          <w:i/>
        </w:rPr>
        <w:t xml:space="preserve">End of Year 7 data – July </w:t>
      </w:r>
      <w:r w:rsidR="004F62B7">
        <w:rPr>
          <w:b/>
          <w:i/>
        </w:rPr>
        <w:t>2019</w:t>
      </w:r>
    </w:p>
    <w:tbl>
      <w:tblPr>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15"/>
        <w:gridCol w:w="903"/>
        <w:gridCol w:w="515"/>
        <w:gridCol w:w="515"/>
        <w:gridCol w:w="515"/>
        <w:gridCol w:w="515"/>
        <w:gridCol w:w="515"/>
        <w:gridCol w:w="515"/>
        <w:gridCol w:w="515"/>
        <w:gridCol w:w="515"/>
      </w:tblGrid>
      <w:tr w:rsidR="00BE3BA9" w:rsidRPr="00BE3BA9" w:rsidTr="00BE3BA9">
        <w:trPr>
          <w:trHeight w:val="330"/>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2020" w:type="dxa"/>
            <w:gridSpan w:val="4"/>
            <w:shd w:val="clear" w:color="auto" w:fill="auto"/>
            <w:noWrap/>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1200" w:type="dxa"/>
            <w:gridSpan w:val="3"/>
            <w:shd w:val="clear" w:color="auto" w:fill="auto"/>
            <w:noWrap/>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Maths</w:t>
            </w:r>
          </w:p>
        </w:tc>
        <w:tc>
          <w:tcPr>
            <w:tcW w:w="1200" w:type="dxa"/>
            <w:gridSpan w:val="3"/>
            <w:shd w:val="clear" w:color="auto" w:fill="auto"/>
            <w:noWrap/>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English</w:t>
            </w:r>
          </w:p>
        </w:tc>
      </w:tr>
      <w:tr w:rsidR="00BE3BA9" w:rsidRPr="00BE3BA9" w:rsidTr="00BE3BA9">
        <w:trPr>
          <w:trHeight w:val="2430"/>
        </w:trPr>
        <w:tc>
          <w:tcPr>
            <w:tcW w:w="74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Pupil</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Year Group 2018-19</w:t>
            </w:r>
          </w:p>
        </w:tc>
        <w:tc>
          <w:tcPr>
            <w:tcW w:w="82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Ability Level</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KS2 Below 100 English</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KS2 Below 100 Maths</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Track 2</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Track 3</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Track 4</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Track 2</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Track 3</w:t>
            </w:r>
          </w:p>
        </w:tc>
        <w:tc>
          <w:tcPr>
            <w:tcW w:w="400" w:type="dxa"/>
            <w:shd w:val="clear" w:color="auto" w:fill="auto"/>
            <w:textDirection w:val="btLr"/>
            <w:vAlign w:val="center"/>
            <w:hideMark/>
          </w:tcPr>
          <w:p w:rsidR="00BE3BA9" w:rsidRPr="00BE3BA9" w:rsidRDefault="00BE3BA9" w:rsidP="00BE3BA9">
            <w:pPr>
              <w:spacing w:after="0" w:line="240" w:lineRule="auto"/>
              <w:jc w:val="center"/>
              <w:rPr>
                <w:rFonts w:ascii="Calibri" w:eastAsia="Times New Roman" w:hAnsi="Calibri" w:cs="Calibri"/>
                <w:b/>
                <w:bCs/>
                <w:sz w:val="24"/>
                <w:szCs w:val="24"/>
                <w:lang w:eastAsia="en-GB"/>
              </w:rPr>
            </w:pPr>
            <w:r w:rsidRPr="00BE3BA9">
              <w:rPr>
                <w:rFonts w:ascii="Calibri" w:eastAsia="Times New Roman" w:hAnsi="Calibri" w:cs="Calibri"/>
                <w:b/>
                <w:bCs/>
                <w:sz w:val="24"/>
                <w:szCs w:val="24"/>
                <w:lang w:eastAsia="en-GB"/>
              </w:rPr>
              <w:t>Track 4</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Middle</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3</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4</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5</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6</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8</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Middle</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9</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10</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12</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13</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r>
      <w:tr w:rsidR="00BE3BA9" w:rsidRPr="00BE3BA9" w:rsidTr="00BE3BA9">
        <w:trPr>
          <w:trHeight w:val="315"/>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14</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r w:rsidR="00BE3BA9" w:rsidRPr="00BE3BA9" w:rsidTr="00BE3BA9">
        <w:trPr>
          <w:trHeight w:val="330"/>
        </w:trPr>
        <w:tc>
          <w:tcPr>
            <w:tcW w:w="740" w:type="dxa"/>
            <w:shd w:val="clear" w:color="auto" w:fill="auto"/>
            <w:noWrap/>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15</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7</w:t>
            </w:r>
          </w:p>
        </w:tc>
        <w:tc>
          <w:tcPr>
            <w:tcW w:w="82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Low</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 </w:t>
            </w:r>
          </w:p>
        </w:tc>
        <w:tc>
          <w:tcPr>
            <w:tcW w:w="400" w:type="dxa"/>
            <w:shd w:val="clear" w:color="auto" w:fill="auto"/>
            <w:vAlign w:val="center"/>
            <w:hideMark/>
          </w:tcPr>
          <w:p w:rsidR="00BE3BA9" w:rsidRPr="00BE3BA9" w:rsidRDefault="00BE3BA9" w:rsidP="00BE3BA9">
            <w:pPr>
              <w:spacing w:after="0" w:line="240" w:lineRule="auto"/>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Y</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B+</w:t>
            </w:r>
          </w:p>
        </w:tc>
        <w:tc>
          <w:tcPr>
            <w:tcW w:w="400" w:type="dxa"/>
            <w:shd w:val="clear" w:color="auto" w:fill="auto"/>
            <w:vAlign w:val="center"/>
            <w:hideMark/>
          </w:tcPr>
          <w:p w:rsidR="00BE3BA9" w:rsidRPr="00BE3BA9" w:rsidRDefault="00BE3BA9" w:rsidP="00BE3BA9">
            <w:pPr>
              <w:spacing w:after="0" w:line="240" w:lineRule="auto"/>
              <w:jc w:val="center"/>
              <w:rPr>
                <w:rFonts w:ascii="Calibri" w:eastAsia="Times New Roman" w:hAnsi="Calibri" w:cs="Calibri"/>
                <w:sz w:val="24"/>
                <w:szCs w:val="24"/>
                <w:lang w:eastAsia="en-GB"/>
              </w:rPr>
            </w:pPr>
            <w:r w:rsidRPr="00BE3BA9">
              <w:rPr>
                <w:rFonts w:ascii="Calibri" w:eastAsia="Times New Roman" w:hAnsi="Calibri" w:cs="Calibri"/>
                <w:sz w:val="24"/>
                <w:szCs w:val="24"/>
                <w:lang w:eastAsia="en-GB"/>
              </w:rPr>
              <w:t>1-</w:t>
            </w:r>
          </w:p>
        </w:tc>
      </w:tr>
    </w:tbl>
    <w:p w:rsidR="00BE3BA9" w:rsidRDefault="00BE3BA9" w:rsidP="00C654A3"/>
    <w:p w:rsidR="00BE3BA9" w:rsidRDefault="00BE3BA9" w:rsidP="00C654A3">
      <w:r>
        <w:t xml:space="preserve">The two students who did not make progress in English will be given specific support as they move into Year 8. The progress of all catch up students is discussed following each </w:t>
      </w:r>
      <w:r w:rsidR="00AC34CB">
        <w:t>cycle of data collection. This meeting involves the 2ic English, 2ic Maths, the SENCO and the Deputy Headteacher with responsibility for KS3 assessment. This</w:t>
      </w:r>
      <w:r>
        <w:t xml:space="preserve"> ensure</w:t>
      </w:r>
      <w:r w:rsidR="00AC34CB">
        <w:t>s</w:t>
      </w:r>
      <w:r>
        <w:t xml:space="preserve"> timely support can be put in place for these students if it is required.</w:t>
      </w:r>
    </w:p>
    <w:p w:rsidR="00B50D64" w:rsidRDefault="00B50D64" w:rsidP="00C654A3"/>
    <w:p w:rsidR="00B50D64" w:rsidRDefault="00B50D64" w:rsidP="00C654A3"/>
    <w:p w:rsidR="00B50D64" w:rsidRDefault="00B50D64" w:rsidP="00C654A3"/>
    <w:p w:rsidR="00B50D64" w:rsidRDefault="00B50D64" w:rsidP="00C654A3"/>
    <w:tbl>
      <w:tblPr>
        <w:tblStyle w:val="TableGrid"/>
        <w:tblW w:w="0" w:type="auto"/>
        <w:tblLook w:val="04A0" w:firstRow="1" w:lastRow="0" w:firstColumn="1" w:lastColumn="0" w:noHBand="0" w:noVBand="1"/>
      </w:tblPr>
      <w:tblGrid>
        <w:gridCol w:w="2245"/>
        <w:gridCol w:w="2231"/>
        <w:gridCol w:w="2297"/>
        <w:gridCol w:w="2243"/>
      </w:tblGrid>
      <w:tr w:rsidR="00EE0A86" w:rsidTr="00B50D64">
        <w:tc>
          <w:tcPr>
            <w:tcW w:w="9016" w:type="dxa"/>
            <w:gridSpan w:val="4"/>
            <w:shd w:val="clear" w:color="auto" w:fill="548DD4" w:themeFill="text2" w:themeFillTint="99"/>
          </w:tcPr>
          <w:p w:rsidR="00EE0A86" w:rsidRPr="00EE0A86" w:rsidRDefault="004F62B7" w:rsidP="00EE0A86">
            <w:pPr>
              <w:rPr>
                <w:b/>
              </w:rPr>
            </w:pPr>
            <w:r>
              <w:rPr>
                <w:b/>
              </w:rPr>
              <w:t>Projected Impact of the 2019/20</w:t>
            </w:r>
            <w:r w:rsidR="00EE0A86">
              <w:rPr>
                <w:b/>
              </w:rPr>
              <w:t xml:space="preserve"> spend</w:t>
            </w:r>
          </w:p>
          <w:p w:rsidR="00EE0A86" w:rsidRPr="00EE0A86" w:rsidRDefault="00EE0A86" w:rsidP="004F62B7">
            <w:pPr>
              <w:pStyle w:val="Default"/>
              <w:rPr>
                <w:rFonts w:asciiTheme="minorHAnsi" w:hAnsiTheme="minorHAnsi" w:cstheme="minorBidi"/>
                <w:color w:val="auto"/>
                <w:sz w:val="22"/>
                <w:szCs w:val="22"/>
              </w:rPr>
            </w:pPr>
            <w:r w:rsidRPr="00EE0A86">
              <w:rPr>
                <w:rFonts w:asciiTheme="minorHAnsi" w:hAnsiTheme="minorHAnsi" w:cstheme="minorBidi"/>
                <w:color w:val="auto"/>
                <w:sz w:val="22"/>
                <w:szCs w:val="22"/>
              </w:rPr>
              <w:t>A breakdown of the projected expenditure</w:t>
            </w:r>
            <w:r w:rsidR="004F62B7">
              <w:rPr>
                <w:rFonts w:asciiTheme="minorHAnsi" w:hAnsiTheme="minorHAnsi" w:cstheme="minorBidi"/>
                <w:color w:val="auto"/>
                <w:sz w:val="22"/>
                <w:szCs w:val="22"/>
              </w:rPr>
              <w:t xml:space="preserve"> for the year 2019/20</w:t>
            </w:r>
            <w:r w:rsidRPr="00EE0A86">
              <w:rPr>
                <w:rFonts w:asciiTheme="minorHAnsi" w:hAnsiTheme="minorHAnsi" w:cstheme="minorBidi"/>
                <w:color w:val="auto"/>
                <w:sz w:val="22"/>
                <w:szCs w:val="22"/>
              </w:rPr>
              <w:t xml:space="preserve"> is shown below, toge</w:t>
            </w:r>
            <w:r>
              <w:rPr>
                <w:rFonts w:asciiTheme="minorHAnsi" w:hAnsiTheme="minorHAnsi" w:cstheme="minorBidi"/>
                <w:color w:val="auto"/>
                <w:sz w:val="22"/>
                <w:szCs w:val="22"/>
              </w:rPr>
              <w:t>ther with its projected impact.</w:t>
            </w:r>
          </w:p>
        </w:tc>
      </w:tr>
      <w:tr w:rsidR="0079763F" w:rsidTr="00B50D64">
        <w:tc>
          <w:tcPr>
            <w:tcW w:w="2245" w:type="dxa"/>
          </w:tcPr>
          <w:p w:rsidR="00EE0A86" w:rsidRPr="00EE0A86" w:rsidRDefault="00EE0A86" w:rsidP="00DF77A2">
            <w:pPr>
              <w:rPr>
                <w:b/>
              </w:rPr>
            </w:pPr>
            <w:r w:rsidRPr="00EE0A86">
              <w:rPr>
                <w:b/>
              </w:rPr>
              <w:t>Catch-up strategy 201</w:t>
            </w:r>
            <w:r w:rsidR="004F62B7">
              <w:rPr>
                <w:b/>
              </w:rPr>
              <w:t>9/20</w:t>
            </w:r>
          </w:p>
        </w:tc>
        <w:tc>
          <w:tcPr>
            <w:tcW w:w="2231" w:type="dxa"/>
          </w:tcPr>
          <w:p w:rsidR="00EE0A86" w:rsidRPr="00EE0A86" w:rsidRDefault="00EE0A86" w:rsidP="00EE0A86">
            <w:pPr>
              <w:rPr>
                <w:b/>
              </w:rPr>
            </w:pPr>
            <w:r w:rsidRPr="00EE0A86">
              <w:rPr>
                <w:b/>
              </w:rPr>
              <w:t>Amount</w:t>
            </w:r>
          </w:p>
        </w:tc>
        <w:tc>
          <w:tcPr>
            <w:tcW w:w="2297" w:type="dxa"/>
          </w:tcPr>
          <w:p w:rsidR="00EE0A86" w:rsidRPr="00EE0A86" w:rsidRDefault="00EE0A86" w:rsidP="00EE0A86">
            <w:pPr>
              <w:rPr>
                <w:b/>
              </w:rPr>
            </w:pPr>
            <w:r w:rsidRPr="00EE0A86">
              <w:rPr>
                <w:b/>
              </w:rPr>
              <w:t>Description</w:t>
            </w:r>
          </w:p>
        </w:tc>
        <w:tc>
          <w:tcPr>
            <w:tcW w:w="2243" w:type="dxa"/>
          </w:tcPr>
          <w:p w:rsidR="00EE0A86" w:rsidRPr="00EE0A86" w:rsidRDefault="00EE0A86" w:rsidP="00EE0A86">
            <w:pPr>
              <w:rPr>
                <w:b/>
              </w:rPr>
            </w:pPr>
            <w:r w:rsidRPr="00EE0A86">
              <w:rPr>
                <w:b/>
              </w:rPr>
              <w:t>Impact on Pupils’ Attainment</w:t>
            </w:r>
          </w:p>
        </w:tc>
      </w:tr>
      <w:tr w:rsidR="0079763F" w:rsidTr="00B50D64">
        <w:tc>
          <w:tcPr>
            <w:tcW w:w="2245" w:type="dxa"/>
          </w:tcPr>
          <w:p w:rsidR="00DF77A2" w:rsidRPr="00DF77A2" w:rsidRDefault="0079763F" w:rsidP="00DF77A2">
            <w:pPr>
              <w:pStyle w:val="Default"/>
              <w:rPr>
                <w:rFonts w:asciiTheme="minorHAnsi" w:hAnsiTheme="minorHAnsi"/>
                <w:sz w:val="22"/>
                <w:szCs w:val="22"/>
              </w:rPr>
            </w:pPr>
            <w:r>
              <w:rPr>
                <w:rFonts w:asciiTheme="minorHAnsi" w:hAnsiTheme="minorHAnsi"/>
                <w:sz w:val="22"/>
                <w:szCs w:val="22"/>
              </w:rPr>
              <w:t>Creation of PLC document for each Year 7 catch up student based on KS2 SATS information.</w:t>
            </w:r>
          </w:p>
        </w:tc>
        <w:tc>
          <w:tcPr>
            <w:tcW w:w="2231" w:type="dxa"/>
            <w:shd w:val="clear" w:color="auto" w:fill="auto"/>
          </w:tcPr>
          <w:p w:rsidR="00DF77A2" w:rsidRDefault="0079763F" w:rsidP="001440B1">
            <w:r>
              <w:t>£200</w:t>
            </w:r>
          </w:p>
        </w:tc>
        <w:tc>
          <w:tcPr>
            <w:tcW w:w="2297" w:type="dxa"/>
          </w:tcPr>
          <w:p w:rsidR="0079763F" w:rsidRDefault="0079763F" w:rsidP="0079763F">
            <w:pPr>
              <w:pStyle w:val="ListParagraph"/>
              <w:numPr>
                <w:ilvl w:val="0"/>
                <w:numId w:val="3"/>
              </w:numPr>
            </w:pPr>
            <w:r>
              <w:t>Gap analysis completed of KS2 knowledge/skills.</w:t>
            </w:r>
          </w:p>
          <w:p w:rsidR="00DF77A2" w:rsidRPr="00DF77A2" w:rsidRDefault="0079763F" w:rsidP="0079763F">
            <w:pPr>
              <w:pStyle w:val="ListParagraph"/>
              <w:numPr>
                <w:ilvl w:val="0"/>
                <w:numId w:val="3"/>
              </w:numPr>
            </w:pPr>
            <w:r>
              <w:t>Personalised learning checklist (PLC) produced for each catch up student</w:t>
            </w:r>
          </w:p>
        </w:tc>
        <w:tc>
          <w:tcPr>
            <w:tcW w:w="2243" w:type="dxa"/>
          </w:tcPr>
          <w:p w:rsidR="00B50D64" w:rsidRPr="00DF77A2" w:rsidRDefault="00B50D64" w:rsidP="00B50D64">
            <w:pPr>
              <w:pStyle w:val="Default"/>
              <w:rPr>
                <w:rFonts w:asciiTheme="minorHAnsi" w:hAnsiTheme="minorHAnsi"/>
                <w:sz w:val="22"/>
                <w:szCs w:val="22"/>
              </w:rPr>
            </w:pPr>
            <w:r w:rsidRPr="00DF77A2">
              <w:rPr>
                <w:rFonts w:asciiTheme="minorHAnsi" w:hAnsiTheme="minorHAnsi"/>
                <w:sz w:val="22"/>
                <w:szCs w:val="22"/>
              </w:rPr>
              <w:t xml:space="preserve">Teachers </w:t>
            </w:r>
            <w:r>
              <w:rPr>
                <w:rFonts w:asciiTheme="minorHAnsi" w:hAnsiTheme="minorHAnsi"/>
                <w:sz w:val="22"/>
                <w:szCs w:val="22"/>
              </w:rPr>
              <w:t>will</w:t>
            </w:r>
            <w:r w:rsidRPr="00DF77A2">
              <w:rPr>
                <w:rFonts w:asciiTheme="minorHAnsi" w:hAnsiTheme="minorHAnsi"/>
                <w:sz w:val="22"/>
                <w:szCs w:val="22"/>
              </w:rPr>
              <w:t xml:space="preserve"> have a clear understanding of skills/knowledge needed to achieve the expected standard. </w:t>
            </w:r>
          </w:p>
          <w:p w:rsidR="00DF77A2" w:rsidRPr="00DF77A2" w:rsidRDefault="00B50D64" w:rsidP="00B50D64">
            <w:pPr>
              <w:pStyle w:val="Default"/>
              <w:rPr>
                <w:rFonts w:asciiTheme="minorHAnsi" w:hAnsiTheme="minorHAnsi"/>
                <w:sz w:val="22"/>
                <w:szCs w:val="22"/>
              </w:rPr>
            </w:pPr>
            <w:r w:rsidRPr="00DF77A2">
              <w:rPr>
                <w:rFonts w:asciiTheme="minorHAnsi" w:hAnsiTheme="minorHAnsi"/>
                <w:sz w:val="22"/>
                <w:szCs w:val="22"/>
              </w:rPr>
              <w:t xml:space="preserve">PLCs used effectively </w:t>
            </w:r>
            <w:r>
              <w:rPr>
                <w:rFonts w:asciiTheme="minorHAnsi" w:hAnsiTheme="minorHAnsi"/>
                <w:sz w:val="22"/>
                <w:szCs w:val="22"/>
              </w:rPr>
              <w:t xml:space="preserve">to target intervention address </w:t>
            </w:r>
            <w:r w:rsidRPr="00DF77A2">
              <w:rPr>
                <w:rFonts w:asciiTheme="minorHAnsi" w:hAnsiTheme="minorHAnsi"/>
                <w:sz w:val="22"/>
                <w:szCs w:val="22"/>
              </w:rPr>
              <w:t>gaps in knowledge/skills.</w:t>
            </w:r>
          </w:p>
        </w:tc>
      </w:tr>
      <w:tr w:rsidR="002A3E37" w:rsidTr="00B50D64">
        <w:tc>
          <w:tcPr>
            <w:tcW w:w="2245" w:type="dxa"/>
          </w:tcPr>
          <w:p w:rsidR="002A3E37" w:rsidRDefault="002A3E37" w:rsidP="00B50D64">
            <w:pPr>
              <w:pStyle w:val="Default"/>
              <w:rPr>
                <w:rFonts w:asciiTheme="minorHAnsi" w:hAnsiTheme="minorHAnsi"/>
              </w:rPr>
            </w:pPr>
            <w:r>
              <w:rPr>
                <w:rFonts w:asciiTheme="minorHAnsi" w:hAnsiTheme="minorHAnsi"/>
              </w:rPr>
              <w:t xml:space="preserve">One to one </w:t>
            </w:r>
            <w:r w:rsidR="00B50D64">
              <w:rPr>
                <w:rFonts w:asciiTheme="minorHAnsi" w:hAnsiTheme="minorHAnsi"/>
              </w:rPr>
              <w:t>for literacy and numeracy for three students</w:t>
            </w:r>
          </w:p>
        </w:tc>
        <w:tc>
          <w:tcPr>
            <w:tcW w:w="2231" w:type="dxa"/>
            <w:shd w:val="clear" w:color="auto" w:fill="auto"/>
          </w:tcPr>
          <w:p w:rsidR="002A3E37" w:rsidRDefault="002A3E37" w:rsidP="00EA5BFB">
            <w:r>
              <w:t>4 weekly sessions - £2340</w:t>
            </w:r>
          </w:p>
          <w:p w:rsidR="002A3E37" w:rsidRDefault="002A3E37" w:rsidP="00EA5BFB"/>
          <w:p w:rsidR="002A3E37" w:rsidRDefault="00B50D64" w:rsidP="00B50D64">
            <w:r>
              <w:t>1 fortnightly</w:t>
            </w:r>
            <w:r w:rsidR="002A3E37">
              <w:t xml:space="preserve"> session - £293</w:t>
            </w:r>
          </w:p>
        </w:tc>
        <w:tc>
          <w:tcPr>
            <w:tcW w:w="2297" w:type="dxa"/>
          </w:tcPr>
          <w:p w:rsidR="002A3E37" w:rsidRDefault="00B50D64" w:rsidP="00DF77A2">
            <w:pPr>
              <w:pStyle w:val="ListParagraph"/>
              <w:numPr>
                <w:ilvl w:val="0"/>
                <w:numId w:val="3"/>
              </w:numPr>
            </w:pPr>
            <w:r>
              <w:t>Two after school sessions</w:t>
            </w:r>
          </w:p>
          <w:p w:rsidR="00B50D64" w:rsidRDefault="00B50D64" w:rsidP="00DF77A2">
            <w:pPr>
              <w:pStyle w:val="ListParagraph"/>
              <w:numPr>
                <w:ilvl w:val="0"/>
                <w:numId w:val="3"/>
              </w:numPr>
            </w:pPr>
            <w:r>
              <w:t>3 withdrawal sessions (twice a week from French, once a fortnight for maths)</w:t>
            </w:r>
          </w:p>
        </w:tc>
        <w:tc>
          <w:tcPr>
            <w:tcW w:w="2243" w:type="dxa"/>
          </w:tcPr>
          <w:p w:rsidR="002A3E37" w:rsidRPr="00DF77A2" w:rsidRDefault="00B50D64" w:rsidP="00DF77A2">
            <w:pPr>
              <w:pStyle w:val="Default"/>
              <w:rPr>
                <w:rFonts w:asciiTheme="minorHAnsi" w:hAnsiTheme="minorHAnsi"/>
                <w:sz w:val="22"/>
                <w:szCs w:val="22"/>
              </w:rPr>
            </w:pPr>
            <w:r w:rsidRPr="00B50D64">
              <w:rPr>
                <w:rFonts w:asciiTheme="minorHAnsi" w:hAnsiTheme="minorHAnsi" w:cstheme="minorBidi"/>
                <w:color w:val="auto"/>
                <w:sz w:val="22"/>
                <w:szCs w:val="22"/>
              </w:rPr>
              <w:t>Allows for even more bespoke intervention for students who require more support</w:t>
            </w:r>
          </w:p>
        </w:tc>
      </w:tr>
      <w:tr w:rsidR="0079763F" w:rsidTr="00B50D64">
        <w:tc>
          <w:tcPr>
            <w:tcW w:w="2245" w:type="dxa"/>
          </w:tcPr>
          <w:p w:rsidR="00EE0A86" w:rsidRPr="00DF77A2" w:rsidRDefault="0079763F" w:rsidP="00B50D64">
            <w:pPr>
              <w:pStyle w:val="Default"/>
              <w:rPr>
                <w:rFonts w:asciiTheme="minorHAnsi" w:hAnsiTheme="minorHAnsi"/>
              </w:rPr>
            </w:pPr>
            <w:r>
              <w:rPr>
                <w:rFonts w:asciiTheme="minorHAnsi" w:hAnsiTheme="minorHAnsi"/>
              </w:rPr>
              <w:t xml:space="preserve">Weekly literacy intervention </w:t>
            </w:r>
          </w:p>
        </w:tc>
        <w:tc>
          <w:tcPr>
            <w:tcW w:w="2231" w:type="dxa"/>
            <w:shd w:val="clear" w:color="auto" w:fill="auto"/>
          </w:tcPr>
          <w:p w:rsidR="00EA5BFB" w:rsidRDefault="0079763F" w:rsidP="00EA5BFB">
            <w:r>
              <w:t>£260</w:t>
            </w:r>
          </w:p>
        </w:tc>
        <w:tc>
          <w:tcPr>
            <w:tcW w:w="2297" w:type="dxa"/>
          </w:tcPr>
          <w:p w:rsidR="00EE0A86" w:rsidRDefault="00B50D64" w:rsidP="00DF77A2">
            <w:pPr>
              <w:pStyle w:val="ListParagraph"/>
              <w:numPr>
                <w:ilvl w:val="0"/>
                <w:numId w:val="3"/>
              </w:numPr>
            </w:pPr>
            <w:r>
              <w:t>After school for 45 minutes</w:t>
            </w:r>
          </w:p>
        </w:tc>
        <w:tc>
          <w:tcPr>
            <w:tcW w:w="2243" w:type="dxa"/>
          </w:tcPr>
          <w:p w:rsidR="00EE0A86" w:rsidRPr="00DF77A2" w:rsidRDefault="00B50D64" w:rsidP="00DF77A2">
            <w:pPr>
              <w:pStyle w:val="Default"/>
              <w:rPr>
                <w:rFonts w:asciiTheme="minorHAnsi" w:hAnsiTheme="minorHAnsi"/>
                <w:sz w:val="22"/>
                <w:szCs w:val="22"/>
              </w:rPr>
            </w:pPr>
            <w:r w:rsidRPr="00B50D64">
              <w:rPr>
                <w:rFonts w:asciiTheme="minorHAnsi" w:hAnsiTheme="minorHAnsi" w:cstheme="minorBidi"/>
                <w:color w:val="auto"/>
                <w:sz w:val="22"/>
                <w:szCs w:val="22"/>
              </w:rPr>
              <w:t>Small group intervention allows for bespoke focus on key areas of weakness on PLC</w:t>
            </w:r>
          </w:p>
        </w:tc>
      </w:tr>
      <w:tr w:rsidR="0079763F" w:rsidTr="00B50D64">
        <w:tc>
          <w:tcPr>
            <w:tcW w:w="2245" w:type="dxa"/>
          </w:tcPr>
          <w:p w:rsidR="00EE0A86" w:rsidRPr="002D3E3A" w:rsidRDefault="0079763F" w:rsidP="00B50D64">
            <w:r>
              <w:t xml:space="preserve">Weekly numeracy intervention </w:t>
            </w:r>
          </w:p>
        </w:tc>
        <w:tc>
          <w:tcPr>
            <w:tcW w:w="2231" w:type="dxa"/>
            <w:shd w:val="clear" w:color="auto" w:fill="auto"/>
          </w:tcPr>
          <w:p w:rsidR="00EA5BFB" w:rsidRPr="002D3E3A" w:rsidRDefault="0079763F" w:rsidP="004730B6">
            <w:r>
              <w:t>£552</w:t>
            </w:r>
          </w:p>
        </w:tc>
        <w:tc>
          <w:tcPr>
            <w:tcW w:w="2297" w:type="dxa"/>
          </w:tcPr>
          <w:p w:rsidR="00FB26D6" w:rsidRDefault="00B50D64" w:rsidP="00FB26D6">
            <w:pPr>
              <w:pStyle w:val="ListParagraph"/>
              <w:numPr>
                <w:ilvl w:val="0"/>
                <w:numId w:val="4"/>
              </w:numPr>
            </w:pPr>
            <w:r>
              <w:t>After school for 45 minutes</w:t>
            </w:r>
          </w:p>
        </w:tc>
        <w:tc>
          <w:tcPr>
            <w:tcW w:w="2243" w:type="dxa"/>
          </w:tcPr>
          <w:p w:rsidR="00EE0A86" w:rsidRDefault="00B50D64" w:rsidP="00FB26D6">
            <w:r>
              <w:t>Small group intervention allows for bespoke focus on key areas of weakness on PLC</w:t>
            </w:r>
          </w:p>
        </w:tc>
      </w:tr>
      <w:tr w:rsidR="0079763F" w:rsidTr="00B50D64">
        <w:tc>
          <w:tcPr>
            <w:tcW w:w="2245" w:type="dxa"/>
          </w:tcPr>
          <w:p w:rsidR="0079763F" w:rsidRDefault="0079763F" w:rsidP="00DF77A2">
            <w:r>
              <w:t>SENCO monitoring and tracking</w:t>
            </w:r>
            <w:r w:rsidR="00695366">
              <w:t>, including monitoring of intervention sessions.</w:t>
            </w:r>
          </w:p>
        </w:tc>
        <w:tc>
          <w:tcPr>
            <w:tcW w:w="2231" w:type="dxa"/>
            <w:shd w:val="clear" w:color="auto" w:fill="auto"/>
          </w:tcPr>
          <w:p w:rsidR="0079763F" w:rsidRDefault="00695366" w:rsidP="00EE0A86">
            <w:r>
              <w:t>£264</w:t>
            </w:r>
          </w:p>
        </w:tc>
        <w:tc>
          <w:tcPr>
            <w:tcW w:w="2297" w:type="dxa"/>
          </w:tcPr>
          <w:p w:rsidR="0079763F" w:rsidRDefault="00695366" w:rsidP="00FB26D6">
            <w:pPr>
              <w:pStyle w:val="ListParagraph"/>
              <w:numPr>
                <w:ilvl w:val="0"/>
                <w:numId w:val="5"/>
              </w:numPr>
            </w:pPr>
            <w:r>
              <w:t>Updating tracking sheets</w:t>
            </w:r>
          </w:p>
          <w:p w:rsidR="00695366" w:rsidRDefault="00695366" w:rsidP="00FB26D6">
            <w:pPr>
              <w:pStyle w:val="ListParagraph"/>
              <w:numPr>
                <w:ilvl w:val="0"/>
                <w:numId w:val="5"/>
              </w:numPr>
            </w:pPr>
            <w:r>
              <w:t>Reporting</w:t>
            </w:r>
          </w:p>
          <w:p w:rsidR="00695366" w:rsidRDefault="00695366" w:rsidP="00FB26D6">
            <w:pPr>
              <w:pStyle w:val="ListParagraph"/>
              <w:numPr>
                <w:ilvl w:val="0"/>
                <w:numId w:val="5"/>
              </w:numPr>
            </w:pPr>
            <w:r>
              <w:t>Intervention planning, monitoring and feedback.</w:t>
            </w:r>
          </w:p>
        </w:tc>
        <w:tc>
          <w:tcPr>
            <w:tcW w:w="2243" w:type="dxa"/>
          </w:tcPr>
          <w:p w:rsidR="0079763F" w:rsidRDefault="00695366" w:rsidP="00DF77A2">
            <w:r>
              <w:t>Monthly review of progress being made in intervention as well as the quality of the intervention being provided.</w:t>
            </w:r>
          </w:p>
        </w:tc>
      </w:tr>
      <w:tr w:rsidR="0079763F" w:rsidTr="00B50D64">
        <w:tc>
          <w:tcPr>
            <w:tcW w:w="2245" w:type="dxa"/>
          </w:tcPr>
          <w:p w:rsidR="00EE0A86" w:rsidRDefault="0079763F" w:rsidP="00DF77A2">
            <w:r>
              <w:t>Testing and updating of PLCs</w:t>
            </w:r>
          </w:p>
        </w:tc>
        <w:tc>
          <w:tcPr>
            <w:tcW w:w="2231" w:type="dxa"/>
            <w:shd w:val="clear" w:color="auto" w:fill="auto"/>
          </w:tcPr>
          <w:p w:rsidR="004730B6" w:rsidRDefault="00695366" w:rsidP="00EE0A86">
            <w:r>
              <w:t>£486</w:t>
            </w:r>
          </w:p>
        </w:tc>
        <w:tc>
          <w:tcPr>
            <w:tcW w:w="2297" w:type="dxa"/>
          </w:tcPr>
          <w:p w:rsidR="00EE0A86" w:rsidRDefault="00695366" w:rsidP="00FB26D6">
            <w:pPr>
              <w:pStyle w:val="ListParagraph"/>
              <w:numPr>
                <w:ilvl w:val="0"/>
                <w:numId w:val="5"/>
              </w:numPr>
            </w:pPr>
            <w:r>
              <w:t>Day of testing – Christmas, Easter and Summer</w:t>
            </w:r>
          </w:p>
        </w:tc>
        <w:tc>
          <w:tcPr>
            <w:tcW w:w="2243" w:type="dxa"/>
          </w:tcPr>
          <w:p w:rsidR="00EE0A86" w:rsidRDefault="00B50D64" w:rsidP="00DF77A2">
            <w:r>
              <w:t>Enables monitoring of intervention impact.</w:t>
            </w:r>
          </w:p>
        </w:tc>
      </w:tr>
      <w:tr w:rsidR="00B50D64" w:rsidTr="00B50D64">
        <w:tc>
          <w:tcPr>
            <w:tcW w:w="2245" w:type="dxa"/>
          </w:tcPr>
          <w:p w:rsidR="00B50D64" w:rsidRDefault="00B50D64" w:rsidP="00B50D64">
            <w:r>
              <w:t>Termly RAP meetings with a focus on catch up students.</w:t>
            </w:r>
          </w:p>
        </w:tc>
        <w:tc>
          <w:tcPr>
            <w:tcW w:w="2231" w:type="dxa"/>
            <w:shd w:val="clear" w:color="auto" w:fill="auto"/>
          </w:tcPr>
          <w:p w:rsidR="00B50D64" w:rsidRDefault="00B50D64" w:rsidP="00B50D64">
            <w:r>
              <w:t>£600</w:t>
            </w:r>
          </w:p>
        </w:tc>
        <w:tc>
          <w:tcPr>
            <w:tcW w:w="2297" w:type="dxa"/>
          </w:tcPr>
          <w:p w:rsidR="00B50D64" w:rsidRDefault="00B50D64" w:rsidP="00B50D64">
            <w:pPr>
              <w:pStyle w:val="ListParagraph"/>
              <w:numPr>
                <w:ilvl w:val="0"/>
                <w:numId w:val="5"/>
              </w:numPr>
            </w:pPr>
            <w:r>
              <w:t>1 hour meeting once per term</w:t>
            </w:r>
          </w:p>
        </w:tc>
        <w:tc>
          <w:tcPr>
            <w:tcW w:w="2243" w:type="dxa"/>
          </w:tcPr>
          <w:p w:rsidR="00B50D64" w:rsidRPr="00FB26D6" w:rsidRDefault="00B50D64" w:rsidP="00B50D64">
            <w:r>
              <w:t>Opportunity to discuss progress and impact of interventions to date and plan further interventions as required.</w:t>
            </w:r>
          </w:p>
        </w:tc>
      </w:tr>
      <w:tr w:rsidR="00B50D64" w:rsidTr="00B50D64">
        <w:tc>
          <w:tcPr>
            <w:tcW w:w="2245" w:type="dxa"/>
          </w:tcPr>
          <w:p w:rsidR="00B50D64" w:rsidRDefault="00B50D64" w:rsidP="00B50D64">
            <w:r>
              <w:t>Celebration event</w:t>
            </w:r>
          </w:p>
        </w:tc>
        <w:tc>
          <w:tcPr>
            <w:tcW w:w="2231" w:type="dxa"/>
          </w:tcPr>
          <w:p w:rsidR="00B50D64" w:rsidRDefault="00B50D64" w:rsidP="00B50D64">
            <w:r>
              <w:t>£50</w:t>
            </w:r>
          </w:p>
        </w:tc>
        <w:tc>
          <w:tcPr>
            <w:tcW w:w="2297" w:type="dxa"/>
          </w:tcPr>
          <w:p w:rsidR="00B50D64" w:rsidRDefault="00B50D64" w:rsidP="00B50D64">
            <w:pPr>
              <w:pStyle w:val="ListParagraph"/>
              <w:numPr>
                <w:ilvl w:val="0"/>
                <w:numId w:val="5"/>
              </w:numPr>
            </w:pPr>
            <w:r>
              <w:t>TBC – Students to vote on celebration</w:t>
            </w:r>
          </w:p>
        </w:tc>
        <w:tc>
          <w:tcPr>
            <w:tcW w:w="2243" w:type="dxa"/>
          </w:tcPr>
          <w:p w:rsidR="00B50D64" w:rsidRPr="00DF77A2" w:rsidRDefault="00B50D64" w:rsidP="00B50D64">
            <w:r>
              <w:t>Reward commitment to programme and increase motivation.  Help to ensure that programme is viewed positively by students involved.</w:t>
            </w:r>
          </w:p>
        </w:tc>
      </w:tr>
      <w:tr w:rsidR="00B50D64" w:rsidTr="00B50D64">
        <w:tc>
          <w:tcPr>
            <w:tcW w:w="2245" w:type="dxa"/>
          </w:tcPr>
          <w:p w:rsidR="00B50D64" w:rsidRPr="00DF77A2" w:rsidRDefault="00B50D64" w:rsidP="00B50D64">
            <w:pPr>
              <w:rPr>
                <w:b/>
              </w:rPr>
            </w:pPr>
            <w:r>
              <w:rPr>
                <w:b/>
              </w:rPr>
              <w:t>TOTAL SPEND</w:t>
            </w:r>
          </w:p>
        </w:tc>
        <w:tc>
          <w:tcPr>
            <w:tcW w:w="6771" w:type="dxa"/>
            <w:gridSpan w:val="3"/>
            <w:shd w:val="clear" w:color="auto" w:fill="auto"/>
          </w:tcPr>
          <w:p w:rsidR="00B50D64" w:rsidRPr="00697A65" w:rsidRDefault="00B50D64" w:rsidP="00B50D64">
            <w:pPr>
              <w:rPr>
                <w:b/>
              </w:rPr>
            </w:pPr>
            <w:r>
              <w:rPr>
                <w:b/>
              </w:rPr>
              <w:t>Current spend: £5045</w:t>
            </w:r>
          </w:p>
        </w:tc>
      </w:tr>
    </w:tbl>
    <w:p w:rsidR="00EE0A86" w:rsidRDefault="00EE0A86" w:rsidP="00C654A3"/>
    <w:sectPr w:rsidR="00EE0A8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B8" w:rsidRDefault="002313B8" w:rsidP="00EE0A86">
      <w:pPr>
        <w:spacing w:after="0" w:line="240" w:lineRule="auto"/>
      </w:pPr>
      <w:r>
        <w:separator/>
      </w:r>
    </w:p>
  </w:endnote>
  <w:endnote w:type="continuationSeparator" w:id="0">
    <w:p w:rsidR="002313B8" w:rsidRDefault="002313B8" w:rsidP="00EE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71046"/>
      <w:docPartObj>
        <w:docPartGallery w:val="Page Numbers (Bottom of Page)"/>
        <w:docPartUnique/>
      </w:docPartObj>
    </w:sdtPr>
    <w:sdtEndPr>
      <w:rPr>
        <w:noProof/>
      </w:rPr>
    </w:sdtEndPr>
    <w:sdtContent>
      <w:p w:rsidR="00695366" w:rsidRDefault="00695366">
        <w:pPr>
          <w:pStyle w:val="Footer"/>
          <w:jc w:val="center"/>
        </w:pPr>
        <w:r>
          <w:fldChar w:fldCharType="begin"/>
        </w:r>
        <w:r>
          <w:instrText xml:space="preserve"> PAGE   \* MERGEFORMAT </w:instrText>
        </w:r>
        <w:r>
          <w:fldChar w:fldCharType="separate"/>
        </w:r>
        <w:r w:rsidR="00FF7C22">
          <w:rPr>
            <w:noProof/>
          </w:rPr>
          <w:t>2</w:t>
        </w:r>
        <w:r>
          <w:rPr>
            <w:noProof/>
          </w:rPr>
          <w:fldChar w:fldCharType="end"/>
        </w:r>
      </w:p>
    </w:sdtContent>
  </w:sdt>
  <w:p w:rsidR="00695366" w:rsidRDefault="006953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B8" w:rsidRDefault="002313B8" w:rsidP="00EE0A86">
      <w:pPr>
        <w:spacing w:after="0" w:line="240" w:lineRule="auto"/>
      </w:pPr>
      <w:r>
        <w:separator/>
      </w:r>
    </w:p>
  </w:footnote>
  <w:footnote w:type="continuationSeparator" w:id="0">
    <w:p w:rsidR="002313B8" w:rsidRDefault="002313B8" w:rsidP="00EE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6" w:rsidRPr="00EE0A86" w:rsidRDefault="00695366">
    <w:pPr>
      <w:pStyle w:val="Header"/>
      <w:rPr>
        <w:b/>
      </w:rPr>
    </w:pPr>
    <w:r w:rsidRPr="00EE0A86">
      <w:rPr>
        <w:b/>
        <w:noProof/>
        <w:lang w:eastAsia="en-GB"/>
      </w:rPr>
      <w:drawing>
        <wp:anchor distT="0" distB="0" distL="114300" distR="114300" simplePos="0" relativeHeight="251658240" behindDoc="1" locked="0" layoutInCell="1" allowOverlap="1" wp14:anchorId="322BF9F1" wp14:editId="5C20523D">
          <wp:simplePos x="0" y="0"/>
          <wp:positionH relativeFrom="column">
            <wp:posOffset>5857875</wp:posOffset>
          </wp:positionH>
          <wp:positionV relativeFrom="paragraph">
            <wp:posOffset>-240030</wp:posOffset>
          </wp:positionV>
          <wp:extent cx="443230" cy="542925"/>
          <wp:effectExtent l="0" t="0" r="0" b="9525"/>
          <wp:wrapTight wrapText="bothSides">
            <wp:wrapPolygon edited="0">
              <wp:start x="0" y="0"/>
              <wp:lineTo x="0" y="21221"/>
              <wp:lineTo x="20424" y="21221"/>
              <wp:lineTo x="20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542925"/>
                  </a:xfrm>
                  <a:prstGeom prst="rect">
                    <a:avLst/>
                  </a:prstGeom>
                </pic:spPr>
              </pic:pic>
            </a:graphicData>
          </a:graphic>
          <wp14:sizeRelH relativeFrom="page">
            <wp14:pctWidth>0</wp14:pctWidth>
          </wp14:sizeRelH>
          <wp14:sizeRelV relativeFrom="page">
            <wp14:pctHeight>0</wp14:pctHeight>
          </wp14:sizeRelV>
        </wp:anchor>
      </w:drawing>
    </w:r>
    <w:r w:rsidRPr="00EE0A86">
      <w:rPr>
        <w:b/>
      </w:rPr>
      <w:t>Year 7 Literacy and Numeracy Catch-Up Premium</w:t>
    </w:r>
  </w:p>
  <w:p w:rsidR="00695366" w:rsidRDefault="006953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0CE"/>
    <w:multiLevelType w:val="hybridMultilevel"/>
    <w:tmpl w:val="9F18F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F3575C"/>
    <w:multiLevelType w:val="hybridMultilevel"/>
    <w:tmpl w:val="B5527A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0725FD"/>
    <w:multiLevelType w:val="hybridMultilevel"/>
    <w:tmpl w:val="1ABA9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C300A3"/>
    <w:multiLevelType w:val="hybridMultilevel"/>
    <w:tmpl w:val="203C0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350163"/>
    <w:multiLevelType w:val="hybridMultilevel"/>
    <w:tmpl w:val="E2741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8B70F1"/>
    <w:multiLevelType w:val="hybridMultilevel"/>
    <w:tmpl w:val="16C26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A3"/>
    <w:rsid w:val="00011066"/>
    <w:rsid w:val="0005079E"/>
    <w:rsid w:val="000B1D38"/>
    <w:rsid w:val="001269E2"/>
    <w:rsid w:val="001440B1"/>
    <w:rsid w:val="00154271"/>
    <w:rsid w:val="001715D8"/>
    <w:rsid w:val="001B62E5"/>
    <w:rsid w:val="001C5EFE"/>
    <w:rsid w:val="00211354"/>
    <w:rsid w:val="00220E0D"/>
    <w:rsid w:val="002313B8"/>
    <w:rsid w:val="002A3E37"/>
    <w:rsid w:val="002D3E3A"/>
    <w:rsid w:val="00344D8F"/>
    <w:rsid w:val="003F5F22"/>
    <w:rsid w:val="004730B6"/>
    <w:rsid w:val="0047549D"/>
    <w:rsid w:val="004A36E3"/>
    <w:rsid w:val="004F62B7"/>
    <w:rsid w:val="005B57DC"/>
    <w:rsid w:val="00683B5A"/>
    <w:rsid w:val="00695366"/>
    <w:rsid w:val="00697A65"/>
    <w:rsid w:val="006F3217"/>
    <w:rsid w:val="006F4D22"/>
    <w:rsid w:val="00710D1A"/>
    <w:rsid w:val="0079763F"/>
    <w:rsid w:val="00811FF6"/>
    <w:rsid w:val="0086421C"/>
    <w:rsid w:val="009352AB"/>
    <w:rsid w:val="00985CD0"/>
    <w:rsid w:val="0099674B"/>
    <w:rsid w:val="009C2567"/>
    <w:rsid w:val="00A407DD"/>
    <w:rsid w:val="00A53E8D"/>
    <w:rsid w:val="00AB66F2"/>
    <w:rsid w:val="00AC34CB"/>
    <w:rsid w:val="00AE6BB1"/>
    <w:rsid w:val="00B50D64"/>
    <w:rsid w:val="00B51AB0"/>
    <w:rsid w:val="00BE3BA9"/>
    <w:rsid w:val="00C654A3"/>
    <w:rsid w:val="00CA6E6F"/>
    <w:rsid w:val="00DF77A2"/>
    <w:rsid w:val="00EA5BFB"/>
    <w:rsid w:val="00EB3304"/>
    <w:rsid w:val="00EE0A86"/>
    <w:rsid w:val="00EE5B89"/>
    <w:rsid w:val="00F0170B"/>
    <w:rsid w:val="00F01C90"/>
    <w:rsid w:val="00F165FA"/>
    <w:rsid w:val="00FB26D6"/>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3EB506-7A5F-43C8-B1D1-F0D484F1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4A3"/>
    <w:pPr>
      <w:ind w:left="720"/>
      <w:contextualSpacing/>
    </w:pPr>
  </w:style>
  <w:style w:type="table" w:styleId="TableGrid">
    <w:name w:val="Table Grid"/>
    <w:basedOn w:val="TableNormal"/>
    <w:uiPriority w:val="59"/>
    <w:rsid w:val="00C6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4A3"/>
    <w:rPr>
      <w:color w:val="0000FF" w:themeColor="hyperlink"/>
      <w:u w:val="single"/>
    </w:rPr>
  </w:style>
  <w:style w:type="character" w:styleId="FollowedHyperlink">
    <w:name w:val="FollowedHyperlink"/>
    <w:basedOn w:val="DefaultParagraphFont"/>
    <w:uiPriority w:val="99"/>
    <w:semiHidden/>
    <w:unhideWhenUsed/>
    <w:rsid w:val="00C654A3"/>
    <w:rPr>
      <w:color w:val="800080" w:themeColor="followedHyperlink"/>
      <w:u w:val="single"/>
    </w:rPr>
  </w:style>
  <w:style w:type="paragraph" w:customStyle="1" w:styleId="Default">
    <w:name w:val="Default"/>
    <w:rsid w:val="00EE0A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E0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86"/>
  </w:style>
  <w:style w:type="paragraph" w:styleId="Footer">
    <w:name w:val="footer"/>
    <w:basedOn w:val="Normal"/>
    <w:link w:val="FooterChar"/>
    <w:uiPriority w:val="99"/>
    <w:unhideWhenUsed/>
    <w:rsid w:val="00EE0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6"/>
  </w:style>
  <w:style w:type="paragraph" w:styleId="BalloonText">
    <w:name w:val="Balloon Text"/>
    <w:basedOn w:val="Normal"/>
    <w:link w:val="BalloonTextChar"/>
    <w:uiPriority w:val="99"/>
    <w:semiHidden/>
    <w:unhideWhenUsed/>
    <w:rsid w:val="00EE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86"/>
    <w:rPr>
      <w:rFonts w:ascii="Tahoma" w:hAnsi="Tahoma" w:cs="Tahoma"/>
      <w:sz w:val="16"/>
      <w:szCs w:val="16"/>
    </w:rPr>
  </w:style>
  <w:style w:type="character" w:styleId="CommentReference">
    <w:name w:val="annotation reference"/>
    <w:basedOn w:val="DefaultParagraphFont"/>
    <w:uiPriority w:val="99"/>
    <w:semiHidden/>
    <w:unhideWhenUsed/>
    <w:rsid w:val="000B1D38"/>
    <w:rPr>
      <w:sz w:val="16"/>
      <w:szCs w:val="16"/>
    </w:rPr>
  </w:style>
  <w:style w:type="paragraph" w:styleId="CommentText">
    <w:name w:val="annotation text"/>
    <w:basedOn w:val="Normal"/>
    <w:link w:val="CommentTextChar"/>
    <w:uiPriority w:val="99"/>
    <w:unhideWhenUsed/>
    <w:rsid w:val="000B1D38"/>
    <w:pPr>
      <w:spacing w:line="240" w:lineRule="auto"/>
    </w:pPr>
    <w:rPr>
      <w:sz w:val="20"/>
      <w:szCs w:val="20"/>
    </w:rPr>
  </w:style>
  <w:style w:type="character" w:customStyle="1" w:styleId="CommentTextChar">
    <w:name w:val="Comment Text Char"/>
    <w:basedOn w:val="DefaultParagraphFont"/>
    <w:link w:val="CommentText"/>
    <w:uiPriority w:val="99"/>
    <w:rsid w:val="000B1D38"/>
    <w:rPr>
      <w:sz w:val="20"/>
      <w:szCs w:val="20"/>
    </w:rPr>
  </w:style>
  <w:style w:type="paragraph" w:styleId="CommentSubject">
    <w:name w:val="annotation subject"/>
    <w:basedOn w:val="CommentText"/>
    <w:next w:val="CommentText"/>
    <w:link w:val="CommentSubjectChar"/>
    <w:uiPriority w:val="99"/>
    <w:semiHidden/>
    <w:unhideWhenUsed/>
    <w:rsid w:val="000B1D38"/>
    <w:rPr>
      <w:b/>
      <w:bCs/>
    </w:rPr>
  </w:style>
  <w:style w:type="character" w:customStyle="1" w:styleId="CommentSubjectChar">
    <w:name w:val="Comment Subject Char"/>
    <w:basedOn w:val="CommentTextChar"/>
    <w:link w:val="CommentSubject"/>
    <w:uiPriority w:val="99"/>
    <w:semiHidden/>
    <w:rsid w:val="000B1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1456">
      <w:bodyDiv w:val="1"/>
      <w:marLeft w:val="0"/>
      <w:marRight w:val="0"/>
      <w:marTop w:val="0"/>
      <w:marBottom w:val="0"/>
      <w:divBdr>
        <w:top w:val="none" w:sz="0" w:space="0" w:color="auto"/>
        <w:left w:val="none" w:sz="0" w:space="0" w:color="auto"/>
        <w:bottom w:val="none" w:sz="0" w:space="0" w:color="auto"/>
        <w:right w:val="none" w:sz="0" w:space="0" w:color="auto"/>
      </w:divBdr>
    </w:div>
    <w:div w:id="550120069">
      <w:bodyDiv w:val="1"/>
      <w:marLeft w:val="0"/>
      <w:marRight w:val="0"/>
      <w:marTop w:val="0"/>
      <w:marBottom w:val="0"/>
      <w:divBdr>
        <w:top w:val="none" w:sz="0" w:space="0" w:color="auto"/>
        <w:left w:val="none" w:sz="0" w:space="0" w:color="auto"/>
        <w:bottom w:val="none" w:sz="0" w:space="0" w:color="auto"/>
        <w:right w:val="none" w:sz="0" w:space="0" w:color="auto"/>
      </w:divBdr>
    </w:div>
    <w:div w:id="14556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caled-scores-at-key-stage-2" TargetMode="External"/><Relationship Id="rId13" Type="http://schemas.openxmlformats.org/officeDocument/2006/relationships/hyperlink" Target="https://www.bedrocklearning.org/about/research-and-results/" TargetMode="External"/><Relationship Id="rId18" Type="http://schemas.openxmlformats.org/officeDocument/2006/relationships/hyperlink" Target="https://portal.bedrocklearning.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39722/literacy_and_numeracy_catch_up_strategies_amended_july-2018_amended_10.09.18.pdf" TargetMode="External"/><Relationship Id="rId17" Type="http://schemas.openxmlformats.org/officeDocument/2006/relationships/hyperlink" Target="https://educationendowmentfoundation.org.uk/evidence-summaries/teaching-learning-toolkit/phonics" TargetMode="Externa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peer-tuto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small-group-tuition"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digital-technology"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739722/literacy_and_numeracy_catch_up_strategies_amended_july-2018_amended_10.09.18.pdf" TargetMode="External"/><Relationship Id="rId19" Type="http://schemas.openxmlformats.org/officeDocument/2006/relationships/hyperlink" Target="https://vle.mathswatch.co.uk/vle/" TargetMode="External"/><Relationship Id="rId4" Type="http://schemas.openxmlformats.org/officeDocument/2006/relationships/settings" Target="settings.xml"/><Relationship Id="rId9" Type="http://schemas.openxmlformats.org/officeDocument/2006/relationships/hyperlink" Target="https://educationendowmentfoundation.org.uk/about/" TargetMode="External"/><Relationship Id="rId14" Type="http://schemas.openxmlformats.org/officeDocument/2006/relationships/hyperlink" Target="https://educationendowmentfoundation.org.uk/evidence-summaries/teaching-learning-toolkit/reading-comprehension-strateg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139F-D9EA-4523-A0BA-354455E5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6834BBB5</Template>
  <TotalTime>1</TotalTime>
  <Pages>5</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Adams</dc:creator>
  <cp:lastModifiedBy>N Johnson</cp:lastModifiedBy>
  <cp:revision>2</cp:revision>
  <cp:lastPrinted>2019-12-03T12:50:00Z</cp:lastPrinted>
  <dcterms:created xsi:type="dcterms:W3CDTF">2019-12-18T13:22:00Z</dcterms:created>
  <dcterms:modified xsi:type="dcterms:W3CDTF">2019-12-18T13:22:00Z</dcterms:modified>
</cp:coreProperties>
</file>